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A547" w14:textId="77777777" w:rsidR="00715CCB" w:rsidRDefault="00715CCB" w:rsidP="00FD3546">
      <w:pPr>
        <w:pStyle w:val="Title"/>
        <w:jc w:val="left"/>
        <w:rPr>
          <w:sz w:val="32"/>
          <w:szCs w:val="32"/>
          <w:lang w:val="en-US"/>
        </w:rPr>
      </w:pPr>
      <w:r>
        <w:rPr>
          <w:noProof/>
          <w:lang w:val="en-US"/>
        </w:rPr>
        <w:drawing>
          <wp:anchor distT="0" distB="0" distL="114300" distR="114300" simplePos="0" relativeHeight="251658240" behindDoc="0" locked="0" layoutInCell="1" allowOverlap="1" wp14:anchorId="19A99B8F" wp14:editId="1AC186E8">
            <wp:simplePos x="4053840" y="914400"/>
            <wp:positionH relativeFrom="column">
              <wp:align>right</wp:align>
            </wp:positionH>
            <wp:positionV relativeFrom="paragraph">
              <wp:align>top</wp:align>
            </wp:positionV>
            <wp:extent cx="2590800" cy="649224"/>
            <wp:effectExtent l="0" t="0" r="0" b="0"/>
            <wp:wrapSquare wrapText="bothSides"/>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r w:rsidR="00FD3546">
        <w:rPr>
          <w:lang w:val="en-US"/>
        </w:rPr>
        <w:br w:type="textWrapping" w:clear="all"/>
      </w:r>
    </w:p>
    <w:p w14:paraId="6387826C" w14:textId="77777777" w:rsidR="00DE76AD" w:rsidRPr="00DE76AD" w:rsidRDefault="00DE76AD" w:rsidP="00DE76AD">
      <w:pPr>
        <w:rPr>
          <w:lang w:val="en-US"/>
        </w:rPr>
      </w:pPr>
    </w:p>
    <w:p w14:paraId="2CE55D40" w14:textId="300EC3DC" w:rsidR="00A45CEE" w:rsidRDefault="00DE76AD" w:rsidP="00715CCB">
      <w:pPr>
        <w:pStyle w:val="Title"/>
        <w:pBdr>
          <w:top w:val="single" w:sz="12" w:space="1" w:color="004F6B" w:themeColor="accent1"/>
          <w:bottom w:val="single" w:sz="12" w:space="1" w:color="004F6B" w:themeColor="accent1"/>
        </w:pBdr>
        <w:rPr>
          <w:lang w:val="en-US"/>
        </w:rPr>
      </w:pPr>
      <w:r>
        <w:rPr>
          <w:lang w:val="en-US"/>
        </w:rPr>
        <w:t>Work plan</w:t>
      </w:r>
    </w:p>
    <w:p w14:paraId="76372C86" w14:textId="77777777" w:rsidR="0035049B" w:rsidRDefault="0035049B" w:rsidP="00715CCB">
      <w:pPr>
        <w:pBdr>
          <w:top w:val="single" w:sz="12" w:space="1" w:color="004F6B" w:themeColor="accent1"/>
          <w:bottom w:val="single" w:sz="12" w:space="1" w:color="004F6B" w:themeColor="accent1"/>
        </w:pBdr>
        <w:rPr>
          <w:lang w:val="en-US"/>
        </w:rPr>
      </w:pPr>
    </w:p>
    <w:p w14:paraId="3DB40D70" w14:textId="01A5D238" w:rsidR="0041440A" w:rsidRPr="0041440A" w:rsidRDefault="00DE76AD" w:rsidP="0041440A">
      <w:pPr>
        <w:pStyle w:val="Subtitle"/>
        <w:pBdr>
          <w:top w:val="single" w:sz="12" w:space="1" w:color="004F6B" w:themeColor="accent1"/>
          <w:bottom w:val="single" w:sz="12" w:space="1" w:color="004F6B" w:themeColor="accent1"/>
        </w:pBdr>
        <w:rPr>
          <w:lang w:val="en-US"/>
        </w:rPr>
      </w:pPr>
      <w:r>
        <w:rPr>
          <w:lang w:val="en-US"/>
        </w:rPr>
        <w:t>2024 - 2025</w:t>
      </w:r>
    </w:p>
    <w:p w14:paraId="3F7445CC" w14:textId="77777777" w:rsidR="0041440A" w:rsidRDefault="0041440A" w:rsidP="0041440A"/>
    <w:p w14:paraId="1FFAB96A" w14:textId="75391CA2" w:rsidR="00A82DEE" w:rsidRDefault="00A82DEE" w:rsidP="00A82DEE">
      <w:r>
        <w:rPr>
          <w:noProof/>
        </w:rPr>
        <w:drawing>
          <wp:inline distT="0" distB="0" distL="0" distR="0" wp14:anchorId="2B0C5948" wp14:editId="1F20F7F2">
            <wp:extent cx="5731510" cy="2456180"/>
            <wp:effectExtent l="0" t="0" r="2540" b="1270"/>
            <wp:docPr id="204863660" name="Picture 4" descr="A diagram showing our key priorities and thematic priorities, with an icon for each pri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660" name="Picture 4" descr="A diagram showing our key priorities and thematic priorities, with an icon for each priority."/>
                    <pic:cNvPicPr/>
                  </pic:nvPicPr>
                  <pic:blipFill>
                    <a:blip r:embed="rId12">
                      <a:extLst>
                        <a:ext uri="{28A0092B-C50C-407E-A947-70E740481C1C}">
                          <a14:useLocalDpi xmlns:a14="http://schemas.microsoft.com/office/drawing/2010/main" val="0"/>
                        </a:ext>
                      </a:extLst>
                    </a:blip>
                    <a:stretch>
                      <a:fillRect/>
                    </a:stretch>
                  </pic:blipFill>
                  <pic:spPr>
                    <a:xfrm>
                      <a:off x="0" y="0"/>
                      <a:ext cx="5731510" cy="2456180"/>
                    </a:xfrm>
                    <a:prstGeom prst="rect">
                      <a:avLst/>
                    </a:prstGeom>
                  </pic:spPr>
                </pic:pic>
              </a:graphicData>
            </a:graphic>
          </wp:inline>
        </w:drawing>
      </w:r>
    </w:p>
    <w:p w14:paraId="50C6B842" w14:textId="77777777" w:rsidR="00A82DEE" w:rsidRDefault="00A82DEE" w:rsidP="00A82DEE"/>
    <w:p w14:paraId="25CBD0DE" w14:textId="4ED4B23D" w:rsidR="00A82DEE" w:rsidRDefault="00A82DEE" w:rsidP="00A82DEE">
      <w:r>
        <w:t>Prioritising helps us to focus our resources and be clear with the health and social care commissioners and services about what we plan to work on and where additional resources will be needed to enable us to provide insight and support.</w:t>
      </w:r>
    </w:p>
    <w:p w14:paraId="17189876" w14:textId="77777777" w:rsidR="00A82DEE" w:rsidRDefault="00A82DEE" w:rsidP="00A82DEE"/>
    <w:p w14:paraId="259DA91B" w14:textId="72979D9B" w:rsidR="00A82DEE" w:rsidRDefault="00A82DEE" w:rsidP="00A82DEE">
      <w:r>
        <w:t>Our core priorities, as the name suggests, are at the heart of what we do and tend to be fixed from year to year, but our thematic priorities are changeable, based on what we are hearing from local people and set as areas for us to focus our resources on.</w:t>
      </w:r>
    </w:p>
    <w:p w14:paraId="2C6D3A2A" w14:textId="77777777" w:rsidR="00A82DEE" w:rsidRDefault="00A82DEE" w:rsidP="00A82DEE"/>
    <w:p w14:paraId="0B918F94" w14:textId="4A25A484" w:rsidR="00A82DEE" w:rsidRDefault="00A82DEE" w:rsidP="00A82DEE">
      <w:r>
        <w:t>This work plan is an internal document, agreed with our Local Healthwatch Advisory Group and sets out our planned activities and outcomes for the year ahead.</w:t>
      </w:r>
    </w:p>
    <w:p w14:paraId="2CC11095" w14:textId="05A5EA91" w:rsidR="00A82DEE" w:rsidRDefault="00A82DEE">
      <w:pPr>
        <w:spacing w:after="160" w:line="259" w:lineRule="auto"/>
      </w:pPr>
      <w:r>
        <w:br w:type="page"/>
      </w:r>
    </w:p>
    <w:tbl>
      <w:tblPr>
        <w:tblStyle w:val="TableGrid"/>
        <w:tblW w:w="5500" w:type="pct"/>
        <w:tblCellMar>
          <w:top w:w="85" w:type="dxa"/>
          <w:bottom w:w="85" w:type="dxa"/>
        </w:tblCellMar>
        <w:tblLook w:val="04A0" w:firstRow="1" w:lastRow="0" w:firstColumn="1" w:lastColumn="0" w:noHBand="0" w:noVBand="1"/>
      </w:tblPr>
      <w:tblGrid>
        <w:gridCol w:w="2646"/>
        <w:gridCol w:w="7272"/>
      </w:tblGrid>
      <w:tr w:rsidR="00DE76AD" w:rsidRPr="00AA6737" w14:paraId="23196B8E" w14:textId="77777777" w:rsidTr="00A82DEE">
        <w:tc>
          <w:tcPr>
            <w:tcW w:w="2646" w:type="dxa"/>
            <w:shd w:val="clear" w:color="auto" w:fill="F5B1D5" w:themeFill="accent2" w:themeFillTint="66"/>
          </w:tcPr>
          <w:p w14:paraId="7BB978FD" w14:textId="77777777" w:rsidR="00DE76AD" w:rsidRPr="00354BF8" w:rsidRDefault="00DE76AD" w:rsidP="00944A1B">
            <w:pPr>
              <w:rPr>
                <w:rFonts w:cs="Poppins"/>
                <w:b/>
              </w:rPr>
            </w:pPr>
            <w:r w:rsidRPr="00354BF8">
              <w:rPr>
                <w:rFonts w:cs="Poppins"/>
                <w:b/>
              </w:rPr>
              <w:lastRenderedPageBreak/>
              <w:t>Priority area</w:t>
            </w:r>
          </w:p>
        </w:tc>
        <w:tc>
          <w:tcPr>
            <w:tcW w:w="7272" w:type="dxa"/>
            <w:shd w:val="clear" w:color="auto" w:fill="F5B1D5" w:themeFill="accent2" w:themeFillTint="66"/>
          </w:tcPr>
          <w:p w14:paraId="15637202" w14:textId="77777777" w:rsidR="00DE76AD" w:rsidRPr="00354BF8" w:rsidDel="00DE7481" w:rsidRDefault="00DE76AD" w:rsidP="00944A1B">
            <w:pPr>
              <w:rPr>
                <w:rFonts w:cs="Poppins"/>
                <w:b/>
              </w:rPr>
            </w:pPr>
            <w:r w:rsidRPr="00354BF8">
              <w:rPr>
                <w:rFonts w:cs="Poppins"/>
                <w:b/>
              </w:rPr>
              <w:t>Planned activities and outcomes</w:t>
            </w:r>
          </w:p>
        </w:tc>
      </w:tr>
      <w:tr w:rsidR="00DE76AD" w:rsidRPr="00AA6737" w14:paraId="47E6184A" w14:textId="77777777" w:rsidTr="00A82DEE">
        <w:trPr>
          <w:cantSplit/>
        </w:trPr>
        <w:tc>
          <w:tcPr>
            <w:tcW w:w="2646" w:type="dxa"/>
            <w:shd w:val="clear" w:color="auto" w:fill="E9F8D9" w:themeFill="accent3" w:themeFillTint="33"/>
          </w:tcPr>
          <w:p w14:paraId="213FDC3D" w14:textId="77777777" w:rsidR="00DE76AD" w:rsidRPr="00354BF8" w:rsidRDefault="00DE76AD" w:rsidP="00944A1B">
            <w:pPr>
              <w:rPr>
                <w:rFonts w:cs="Poppins"/>
                <w:b/>
              </w:rPr>
            </w:pPr>
            <w:r w:rsidRPr="00354BF8">
              <w:rPr>
                <w:rFonts w:cs="Poppins"/>
                <w:b/>
              </w:rPr>
              <w:t>Agenda free listening</w:t>
            </w:r>
          </w:p>
        </w:tc>
        <w:tc>
          <w:tcPr>
            <w:tcW w:w="7272" w:type="dxa"/>
            <w:shd w:val="clear" w:color="auto" w:fill="E9F8D9" w:themeFill="accent3" w:themeFillTint="33"/>
          </w:tcPr>
          <w:p w14:paraId="29F0C5BC" w14:textId="77777777" w:rsidR="00DE76AD" w:rsidRPr="00BD476B" w:rsidRDefault="00DE76AD" w:rsidP="00944A1B">
            <w:pPr>
              <w:rPr>
                <w:rFonts w:cs="Poppins"/>
                <w:b/>
              </w:rPr>
            </w:pPr>
            <w:r w:rsidRPr="00BD476B">
              <w:rPr>
                <w:rFonts w:cs="Poppins"/>
                <w:b/>
              </w:rPr>
              <w:t>Activities:</w:t>
            </w:r>
          </w:p>
          <w:p w14:paraId="14DE9245" w14:textId="77777777" w:rsidR="00DE76AD" w:rsidRPr="00006A3E" w:rsidRDefault="00DE76AD" w:rsidP="00944A1B">
            <w:pPr>
              <w:pStyle w:val="ListBullet"/>
              <w:rPr>
                <w:rFonts w:cs="Poppins"/>
              </w:rPr>
            </w:pPr>
            <w:r w:rsidRPr="00006A3E">
              <w:rPr>
                <w:rFonts w:cs="Poppins"/>
              </w:rPr>
              <w:t xml:space="preserve">1 x place </w:t>
            </w:r>
            <w:r>
              <w:rPr>
                <w:rFonts w:cs="Poppins"/>
              </w:rPr>
              <w:t>report</w:t>
            </w:r>
            <w:r w:rsidRPr="00006A3E">
              <w:rPr>
                <w:rFonts w:cs="Poppins"/>
              </w:rPr>
              <w:t xml:space="preserve"> </w:t>
            </w:r>
            <w:r>
              <w:rPr>
                <w:rFonts w:cs="Poppins"/>
              </w:rPr>
              <w:t xml:space="preserve">or equivalent feedback mechanism </w:t>
            </w:r>
            <w:r w:rsidRPr="00006A3E">
              <w:rPr>
                <w:rFonts w:cs="Poppins"/>
              </w:rPr>
              <w:t xml:space="preserve">per month based on listening events, escalations, general insight and </w:t>
            </w:r>
            <w:proofErr w:type="spellStart"/>
            <w:proofErr w:type="gramStart"/>
            <w:r w:rsidRPr="00006A3E">
              <w:rPr>
                <w:rFonts w:cs="Poppins"/>
              </w:rPr>
              <w:t>it’s</w:t>
            </w:r>
            <w:proofErr w:type="spellEnd"/>
            <w:proofErr w:type="gramEnd"/>
            <w:r w:rsidRPr="00006A3E">
              <w:rPr>
                <w:rFonts w:cs="Poppins"/>
              </w:rPr>
              <w:t xml:space="preserve"> impact.</w:t>
            </w:r>
          </w:p>
          <w:p w14:paraId="399E13CB" w14:textId="77777777" w:rsidR="00DE76AD" w:rsidRPr="00006A3E" w:rsidRDefault="00DE76AD" w:rsidP="00944A1B">
            <w:pPr>
              <w:pStyle w:val="ListBullet"/>
              <w:rPr>
                <w:rFonts w:cs="Poppins"/>
              </w:rPr>
            </w:pPr>
            <w:r w:rsidRPr="00006A3E">
              <w:rPr>
                <w:rFonts w:cs="Poppins"/>
              </w:rPr>
              <w:t>To raise awareness through website news and social media content to encourage people to share their experiences</w:t>
            </w:r>
          </w:p>
          <w:p w14:paraId="006A2B77" w14:textId="77777777" w:rsidR="00DE76AD" w:rsidRPr="00BD476B" w:rsidRDefault="00DE76AD" w:rsidP="00944A1B">
            <w:pPr>
              <w:rPr>
                <w:rFonts w:cs="Poppins"/>
                <w:b/>
              </w:rPr>
            </w:pPr>
            <w:r w:rsidRPr="00BD476B">
              <w:rPr>
                <w:rFonts w:cs="Poppins"/>
                <w:b/>
              </w:rPr>
              <w:t>Long term outcomes:</w:t>
            </w:r>
          </w:p>
          <w:p w14:paraId="04122A1C" w14:textId="77777777" w:rsidR="00DE76AD" w:rsidRPr="00AA6737" w:rsidDel="00DE7481" w:rsidRDefault="00DE76AD" w:rsidP="00944A1B">
            <w:pPr>
              <w:rPr>
                <w:rFonts w:cs="Poppins"/>
              </w:rPr>
            </w:pPr>
            <w:r w:rsidRPr="00006A3E">
              <w:rPr>
                <w:rFonts w:cs="Poppins"/>
              </w:rPr>
              <w:t>By ensuring we are hearing from a range of local people and amplifying their voice, local services will be delivered to mee</w:t>
            </w:r>
            <w:r>
              <w:rPr>
                <w:rFonts w:cs="Poppins"/>
              </w:rPr>
              <w:t>t</w:t>
            </w:r>
            <w:r w:rsidRPr="00006A3E">
              <w:rPr>
                <w:rFonts w:cs="Poppins"/>
              </w:rPr>
              <w:t xml:space="preserve"> people’s needs and ensure a good experience.</w:t>
            </w:r>
          </w:p>
        </w:tc>
      </w:tr>
      <w:tr w:rsidR="00DE76AD" w14:paraId="7FC83FAB" w14:textId="77777777" w:rsidTr="00A82DEE">
        <w:tc>
          <w:tcPr>
            <w:tcW w:w="2646" w:type="dxa"/>
            <w:shd w:val="clear" w:color="auto" w:fill="E9F8D9" w:themeFill="accent3" w:themeFillTint="33"/>
          </w:tcPr>
          <w:p w14:paraId="613EA2FC" w14:textId="77777777" w:rsidR="00DE76AD" w:rsidRPr="00354BF8" w:rsidRDefault="00DE76AD" w:rsidP="00944A1B">
            <w:pPr>
              <w:rPr>
                <w:rFonts w:cs="Poppins"/>
                <w:b/>
              </w:rPr>
            </w:pPr>
            <w:r w:rsidRPr="00354BF8">
              <w:rPr>
                <w:rFonts w:cs="Poppins"/>
                <w:b/>
              </w:rPr>
              <w:t>Information and advice</w:t>
            </w:r>
          </w:p>
          <w:p w14:paraId="3AFF7ECE" w14:textId="77777777" w:rsidR="00DE76AD" w:rsidRPr="00354BF8" w:rsidRDefault="00DE76AD" w:rsidP="00944A1B">
            <w:pPr>
              <w:rPr>
                <w:rFonts w:cs="Poppins"/>
                <w:b/>
              </w:rPr>
            </w:pPr>
          </w:p>
        </w:tc>
        <w:tc>
          <w:tcPr>
            <w:tcW w:w="7272" w:type="dxa"/>
            <w:shd w:val="clear" w:color="auto" w:fill="E9F8D9" w:themeFill="accent3" w:themeFillTint="33"/>
          </w:tcPr>
          <w:p w14:paraId="76B075D5" w14:textId="77777777" w:rsidR="00DE76AD" w:rsidRPr="00BD476B" w:rsidRDefault="00DE76AD" w:rsidP="00944A1B">
            <w:pPr>
              <w:rPr>
                <w:rFonts w:cs="Poppins"/>
                <w:b/>
              </w:rPr>
            </w:pPr>
            <w:r w:rsidRPr="00BD476B">
              <w:rPr>
                <w:rFonts w:cs="Poppins"/>
                <w:b/>
              </w:rPr>
              <w:t>Activities:</w:t>
            </w:r>
          </w:p>
          <w:p w14:paraId="6AA553C7" w14:textId="77777777" w:rsidR="00DE76AD" w:rsidRPr="00C75C54" w:rsidRDefault="00DE76AD" w:rsidP="00944A1B">
            <w:pPr>
              <w:pStyle w:val="ListBullet"/>
              <w:rPr>
                <w:rFonts w:cs="Poppins"/>
              </w:rPr>
            </w:pPr>
            <w:r w:rsidRPr="00C75C54">
              <w:rPr>
                <w:rFonts w:cs="Poppins"/>
              </w:rPr>
              <w:t>1 Helpdesk and Independent Health Complaints Advocacy awareness raising event per month</w:t>
            </w:r>
          </w:p>
          <w:p w14:paraId="638BEC9B" w14:textId="77777777" w:rsidR="00DE76AD" w:rsidRPr="00C75C54" w:rsidRDefault="00DE76AD" w:rsidP="00944A1B">
            <w:pPr>
              <w:pStyle w:val="ListBullet"/>
              <w:rPr>
                <w:rFonts w:cs="Poppins"/>
              </w:rPr>
            </w:pPr>
            <w:r w:rsidRPr="00C75C54">
              <w:rPr>
                <w:rFonts w:cs="Poppins"/>
              </w:rPr>
              <w:t>Our volunteers will also raise awareness of these services as brand ambassadors within their local communities and through volunteer led engagement sessions.</w:t>
            </w:r>
          </w:p>
          <w:p w14:paraId="0A00E50E" w14:textId="77777777" w:rsidR="00DE76AD" w:rsidRPr="00C75C54" w:rsidRDefault="00DE76AD" w:rsidP="00944A1B">
            <w:pPr>
              <w:pStyle w:val="ListBullet"/>
              <w:rPr>
                <w:rFonts w:cs="Poppins"/>
              </w:rPr>
            </w:pPr>
            <w:r w:rsidRPr="00C75C54">
              <w:rPr>
                <w:rFonts w:cs="Poppins"/>
              </w:rPr>
              <w:t>Through our communications, we will promote the Helpdesk and Independent Health Complaints Advocacy service, also sharing the impact of these services.</w:t>
            </w:r>
          </w:p>
          <w:p w14:paraId="5F600F65" w14:textId="77777777" w:rsidR="00DE76AD" w:rsidRPr="0054300F" w:rsidRDefault="00DE76AD" w:rsidP="00944A1B">
            <w:pPr>
              <w:rPr>
                <w:rFonts w:cs="Poppins"/>
                <w:b/>
              </w:rPr>
            </w:pPr>
            <w:r w:rsidRPr="0054300F">
              <w:rPr>
                <w:rFonts w:cs="Poppins"/>
                <w:b/>
              </w:rPr>
              <w:t>Long term outcomes:</w:t>
            </w:r>
          </w:p>
          <w:p w14:paraId="033B7035" w14:textId="77777777" w:rsidR="00DE76AD" w:rsidRPr="00C75C54" w:rsidRDefault="00DE76AD" w:rsidP="00944A1B">
            <w:pPr>
              <w:pStyle w:val="ListBullet"/>
              <w:rPr>
                <w:rFonts w:cs="Poppins"/>
              </w:rPr>
            </w:pPr>
            <w:r>
              <w:rPr>
                <w:rFonts w:cs="Poppins"/>
              </w:rPr>
              <w:t>A</w:t>
            </w:r>
            <w:r w:rsidRPr="00C75C54">
              <w:rPr>
                <w:rFonts w:cs="Poppins"/>
              </w:rPr>
              <w:t>n increase in the number of people contacting Healthwatch Surrey to either share their experiences or to get information and advice.</w:t>
            </w:r>
          </w:p>
          <w:p w14:paraId="1A4C64EB" w14:textId="77777777" w:rsidR="00DE76AD" w:rsidRPr="00C75C54" w:rsidRDefault="00DE76AD" w:rsidP="00944A1B">
            <w:pPr>
              <w:pStyle w:val="ListBullet"/>
              <w:rPr>
                <w:rFonts w:cs="Poppins"/>
              </w:rPr>
            </w:pPr>
            <w:r>
              <w:rPr>
                <w:rFonts w:cs="Poppins"/>
              </w:rPr>
              <w:t>Able</w:t>
            </w:r>
            <w:r w:rsidRPr="00C75C54">
              <w:rPr>
                <w:rFonts w:cs="Poppins"/>
              </w:rPr>
              <w:t xml:space="preserve"> to evidence our involvement in influencing system partners.</w:t>
            </w:r>
          </w:p>
        </w:tc>
      </w:tr>
      <w:tr w:rsidR="00DE76AD" w14:paraId="612239CB" w14:textId="77777777" w:rsidTr="00A82DEE">
        <w:tc>
          <w:tcPr>
            <w:tcW w:w="2646" w:type="dxa"/>
            <w:shd w:val="clear" w:color="auto" w:fill="E9F8D9" w:themeFill="accent3" w:themeFillTint="33"/>
          </w:tcPr>
          <w:p w14:paraId="403F9216" w14:textId="77777777" w:rsidR="00DE76AD" w:rsidRPr="00354BF8" w:rsidRDefault="00DE76AD" w:rsidP="00944A1B">
            <w:pPr>
              <w:rPr>
                <w:rFonts w:cs="Poppins"/>
                <w:b/>
              </w:rPr>
            </w:pPr>
            <w:r w:rsidRPr="00354BF8">
              <w:rPr>
                <w:rFonts w:cs="Poppins"/>
                <w:b/>
              </w:rPr>
              <w:t>Amplifying VCSE voice</w:t>
            </w:r>
          </w:p>
        </w:tc>
        <w:tc>
          <w:tcPr>
            <w:tcW w:w="7272" w:type="dxa"/>
            <w:shd w:val="clear" w:color="auto" w:fill="E9F8D9" w:themeFill="accent3" w:themeFillTint="33"/>
          </w:tcPr>
          <w:p w14:paraId="61D41F58" w14:textId="77777777" w:rsidR="00DE76AD" w:rsidRPr="0054300F" w:rsidRDefault="00DE76AD" w:rsidP="00944A1B">
            <w:pPr>
              <w:rPr>
                <w:rFonts w:cs="Poppins"/>
                <w:b/>
              </w:rPr>
            </w:pPr>
            <w:r w:rsidRPr="0054300F">
              <w:rPr>
                <w:rFonts w:cs="Poppins"/>
                <w:b/>
              </w:rPr>
              <w:t>Activities:</w:t>
            </w:r>
          </w:p>
          <w:p w14:paraId="21C36C81" w14:textId="77777777" w:rsidR="00DE76AD" w:rsidRPr="00C75C54" w:rsidRDefault="00DE76AD" w:rsidP="00944A1B">
            <w:pPr>
              <w:pStyle w:val="ListBullet"/>
              <w:rPr>
                <w:rFonts w:cs="Poppins"/>
              </w:rPr>
            </w:pPr>
            <w:r w:rsidRPr="00C75C54">
              <w:rPr>
                <w:rFonts w:cs="Poppins"/>
              </w:rPr>
              <w:t>We will continue to work with our VCSE partners and help to raise issues with appropriate system partners or link them to the relevant decision makers</w:t>
            </w:r>
          </w:p>
          <w:p w14:paraId="61265C2A" w14:textId="77777777" w:rsidR="00DE76AD" w:rsidRPr="00C75C54" w:rsidRDefault="00DE76AD" w:rsidP="00944A1B">
            <w:pPr>
              <w:pStyle w:val="ListBullet"/>
              <w:rPr>
                <w:rFonts w:cs="Poppins"/>
              </w:rPr>
            </w:pPr>
            <w:r w:rsidRPr="00C75C54">
              <w:rPr>
                <w:rFonts w:cs="Poppins"/>
              </w:rPr>
              <w:t>To work with the VCSE Voice Group to share what we are hearing from the people we serve</w:t>
            </w:r>
          </w:p>
          <w:p w14:paraId="17AAA628" w14:textId="77777777" w:rsidR="00DE76AD" w:rsidRPr="00C75C54" w:rsidRDefault="00DE76AD" w:rsidP="00944A1B">
            <w:pPr>
              <w:pStyle w:val="ListBullet"/>
              <w:rPr>
                <w:rFonts w:cs="Poppins"/>
              </w:rPr>
            </w:pPr>
            <w:r w:rsidRPr="00C75C54">
              <w:rPr>
                <w:rFonts w:cs="Poppins"/>
              </w:rPr>
              <w:lastRenderedPageBreak/>
              <w:t xml:space="preserve">To work with VCSE partners and system partners to share insight relating to the Accessible Information Standard and raise awareness of the impact </w:t>
            </w:r>
            <w:r>
              <w:rPr>
                <w:rFonts w:cs="Poppins"/>
              </w:rPr>
              <w:t xml:space="preserve">on people </w:t>
            </w:r>
            <w:r w:rsidRPr="00C75C54">
              <w:rPr>
                <w:rFonts w:cs="Poppins"/>
              </w:rPr>
              <w:t>when this isn’t adhered to.</w:t>
            </w:r>
          </w:p>
          <w:p w14:paraId="08B4F96B" w14:textId="77777777" w:rsidR="00DE76AD" w:rsidRPr="0054300F" w:rsidRDefault="00DE76AD" w:rsidP="00944A1B">
            <w:pPr>
              <w:rPr>
                <w:rFonts w:cs="Poppins"/>
                <w:b/>
              </w:rPr>
            </w:pPr>
            <w:r w:rsidRPr="0054300F">
              <w:rPr>
                <w:rFonts w:cs="Poppins"/>
                <w:b/>
              </w:rPr>
              <w:t>Long term outcomes:</w:t>
            </w:r>
          </w:p>
          <w:p w14:paraId="21D129C8" w14:textId="77777777" w:rsidR="00DE76AD" w:rsidRPr="00C75C54" w:rsidRDefault="00DE76AD" w:rsidP="00944A1B">
            <w:pPr>
              <w:pStyle w:val="ListBullet"/>
              <w:rPr>
                <w:rFonts w:cs="Poppins"/>
              </w:rPr>
            </w:pPr>
            <w:r>
              <w:rPr>
                <w:rFonts w:cs="Poppins"/>
              </w:rPr>
              <w:t>Issues</w:t>
            </w:r>
            <w:r w:rsidRPr="00C75C54">
              <w:rPr>
                <w:rFonts w:cs="Poppins"/>
              </w:rPr>
              <w:t xml:space="preserve"> </w:t>
            </w:r>
            <w:r>
              <w:rPr>
                <w:rFonts w:cs="Poppins"/>
              </w:rPr>
              <w:t>raised by local people with</w:t>
            </w:r>
            <w:r w:rsidRPr="00C75C54">
              <w:rPr>
                <w:rFonts w:cs="Poppins"/>
              </w:rPr>
              <w:t xml:space="preserve"> VCSE partners are heard by the relevant decision makers</w:t>
            </w:r>
          </w:p>
          <w:p w14:paraId="703CA210" w14:textId="77777777" w:rsidR="00DE76AD" w:rsidRPr="00C75C54" w:rsidRDefault="00DE76AD" w:rsidP="00944A1B">
            <w:pPr>
              <w:pStyle w:val="ListBullet"/>
              <w:rPr>
                <w:rFonts w:cs="Poppins"/>
              </w:rPr>
            </w:pPr>
            <w:r w:rsidRPr="00C75C54">
              <w:rPr>
                <w:rFonts w:cs="Poppins"/>
              </w:rPr>
              <w:t>The Voice group will work effectively and collaboratively towards shared aims and confidently describe the impact this has had.</w:t>
            </w:r>
          </w:p>
        </w:tc>
      </w:tr>
      <w:tr w:rsidR="00DE76AD" w:rsidRPr="00AA6737" w14:paraId="5A30197C" w14:textId="77777777" w:rsidTr="00A82DEE">
        <w:tc>
          <w:tcPr>
            <w:tcW w:w="2646" w:type="dxa"/>
            <w:shd w:val="clear" w:color="auto" w:fill="E5F4FB" w:themeFill="accent6" w:themeFillTint="33"/>
          </w:tcPr>
          <w:p w14:paraId="791015DB" w14:textId="77777777" w:rsidR="00DE76AD" w:rsidRPr="00354BF8" w:rsidRDefault="00DE76AD" w:rsidP="00944A1B">
            <w:pPr>
              <w:rPr>
                <w:rFonts w:cs="Poppins"/>
                <w:b/>
              </w:rPr>
            </w:pPr>
            <w:r w:rsidRPr="00354BF8">
              <w:rPr>
                <w:rFonts w:cs="Poppins"/>
                <w:b/>
              </w:rPr>
              <w:lastRenderedPageBreak/>
              <w:t>All thematic priorities</w:t>
            </w:r>
          </w:p>
        </w:tc>
        <w:tc>
          <w:tcPr>
            <w:tcW w:w="7272" w:type="dxa"/>
            <w:shd w:val="clear" w:color="auto" w:fill="E5F4FB" w:themeFill="accent6" w:themeFillTint="33"/>
          </w:tcPr>
          <w:p w14:paraId="79236F16" w14:textId="77777777" w:rsidR="00DE76AD" w:rsidRPr="00354BF8" w:rsidRDefault="00DE76AD" w:rsidP="00944A1B">
            <w:pPr>
              <w:rPr>
                <w:rFonts w:cs="Poppins"/>
                <w:b/>
              </w:rPr>
            </w:pPr>
            <w:r w:rsidRPr="00354BF8">
              <w:rPr>
                <w:rFonts w:cs="Poppins"/>
                <w:b/>
              </w:rPr>
              <w:t>Activities:</w:t>
            </w:r>
          </w:p>
          <w:p w14:paraId="5F699AFF" w14:textId="77777777" w:rsidR="00DE76AD" w:rsidRPr="00C75C54" w:rsidRDefault="00DE76AD" w:rsidP="00944A1B">
            <w:pPr>
              <w:pStyle w:val="ListBullet"/>
              <w:rPr>
                <w:rFonts w:cs="Poppins"/>
              </w:rPr>
            </w:pPr>
            <w:r w:rsidRPr="00C75C54">
              <w:rPr>
                <w:rFonts w:cs="Poppins"/>
              </w:rPr>
              <w:t>1 x workshop for each priority to agree a project plan – this will be held with volunteers or relevant VCSE organisations/system partners. Develop a project plan following this meeting.</w:t>
            </w:r>
          </w:p>
          <w:p w14:paraId="716C1A26" w14:textId="77777777" w:rsidR="00DE76AD" w:rsidRPr="00C75C54" w:rsidRDefault="00DE76AD" w:rsidP="00944A1B">
            <w:pPr>
              <w:pStyle w:val="ListBullet"/>
              <w:rPr>
                <w:rFonts w:cs="Poppins"/>
              </w:rPr>
            </w:pPr>
            <w:r>
              <w:rPr>
                <w:rFonts w:cs="Poppins"/>
              </w:rPr>
              <w:t>Each month, in that month’s Place, hold 1 listening event for each priority. T</w:t>
            </w:r>
            <w:r w:rsidRPr="00C75C54">
              <w:rPr>
                <w:rFonts w:cs="Poppins"/>
              </w:rPr>
              <w:t xml:space="preserve">his will ask local people </w:t>
            </w:r>
            <w:r>
              <w:rPr>
                <w:rFonts w:cs="Poppins"/>
              </w:rPr>
              <w:t>their experience</w:t>
            </w:r>
            <w:r w:rsidRPr="00C75C54">
              <w:rPr>
                <w:rFonts w:cs="Poppins"/>
              </w:rPr>
              <w:t xml:space="preserve"> </w:t>
            </w:r>
            <w:r>
              <w:rPr>
                <w:rFonts w:cs="Poppins"/>
              </w:rPr>
              <w:t>in relation to the specific priority.</w:t>
            </w:r>
          </w:p>
          <w:p w14:paraId="5B342B20" w14:textId="77777777" w:rsidR="00DE76AD" w:rsidRPr="00C75C54" w:rsidRDefault="00DE76AD" w:rsidP="00944A1B">
            <w:pPr>
              <w:pStyle w:val="ListBullet"/>
              <w:rPr>
                <w:rFonts w:cs="Poppins"/>
              </w:rPr>
            </w:pPr>
            <w:r w:rsidRPr="00C75C54">
              <w:rPr>
                <w:rFonts w:cs="Poppins"/>
              </w:rPr>
              <w:t xml:space="preserve">A specific piece of research to understand in further detail a topic we have been hearing about. </w:t>
            </w:r>
          </w:p>
          <w:p w14:paraId="7B674642" w14:textId="77777777" w:rsidR="00DE76AD" w:rsidRPr="00C75C54" w:rsidRDefault="00DE76AD" w:rsidP="00944A1B">
            <w:pPr>
              <w:pStyle w:val="ListBullet"/>
              <w:rPr>
                <w:rFonts w:cs="Poppins"/>
              </w:rPr>
            </w:pPr>
            <w:r w:rsidRPr="00C75C54">
              <w:rPr>
                <w:rFonts w:cs="Poppins"/>
              </w:rPr>
              <w:t>Raise escalations with relevant service providers and commissioners</w:t>
            </w:r>
          </w:p>
          <w:p w14:paraId="43FF57CC" w14:textId="77777777" w:rsidR="00DE76AD" w:rsidRPr="00C75C54" w:rsidRDefault="00DE76AD" w:rsidP="00944A1B">
            <w:pPr>
              <w:pStyle w:val="ListBullet"/>
              <w:rPr>
                <w:rFonts w:cs="Poppins"/>
              </w:rPr>
            </w:pPr>
            <w:r w:rsidRPr="00C75C54">
              <w:rPr>
                <w:rFonts w:cs="Poppins"/>
              </w:rPr>
              <w:t xml:space="preserve">Ensure Healthwatch Surrey volunteers are engaged appropriately with </w:t>
            </w:r>
            <w:r>
              <w:rPr>
                <w:rFonts w:cs="Poppins"/>
              </w:rPr>
              <w:t>each</w:t>
            </w:r>
            <w:r w:rsidRPr="00C75C54">
              <w:rPr>
                <w:rFonts w:cs="Poppins"/>
              </w:rPr>
              <w:t xml:space="preserve"> priority (through the reading panel, workshops, research.</w:t>
            </w:r>
          </w:p>
          <w:p w14:paraId="35D816D6" w14:textId="77777777" w:rsidR="00DE76AD" w:rsidRPr="00C75C54" w:rsidRDefault="00DE76AD" w:rsidP="00944A1B">
            <w:pPr>
              <w:pStyle w:val="ListBullet"/>
              <w:rPr>
                <w:rFonts w:cs="Poppins"/>
              </w:rPr>
            </w:pPr>
            <w:r w:rsidRPr="00C75C54">
              <w:rPr>
                <w:rFonts w:cs="Poppins"/>
              </w:rPr>
              <w:t>Liaise with communications for promotion of work, surveys, reports and impact</w:t>
            </w:r>
          </w:p>
          <w:p w14:paraId="3DF0CE88" w14:textId="77777777" w:rsidR="00DE76AD" w:rsidRPr="00C75C54" w:rsidRDefault="00DE76AD" w:rsidP="00944A1B">
            <w:pPr>
              <w:pStyle w:val="ListBullet"/>
              <w:rPr>
                <w:rFonts w:cs="Poppins"/>
              </w:rPr>
            </w:pPr>
            <w:r w:rsidRPr="00C75C54">
              <w:rPr>
                <w:rFonts w:cs="Poppins"/>
              </w:rPr>
              <w:t>Ensure the impact of the work undertaken is clear to all parties.</w:t>
            </w:r>
          </w:p>
        </w:tc>
      </w:tr>
      <w:tr w:rsidR="00DE76AD" w:rsidRPr="00AA6737" w14:paraId="539E74D2" w14:textId="77777777" w:rsidTr="00A82DEE">
        <w:tc>
          <w:tcPr>
            <w:tcW w:w="2646" w:type="dxa"/>
            <w:shd w:val="clear" w:color="auto" w:fill="E5F4FB" w:themeFill="accent6" w:themeFillTint="33"/>
          </w:tcPr>
          <w:p w14:paraId="024EA156" w14:textId="77777777" w:rsidR="00DE76AD" w:rsidRPr="00354BF8" w:rsidRDefault="00DE76AD" w:rsidP="00944A1B">
            <w:pPr>
              <w:rPr>
                <w:rFonts w:cs="Poppins"/>
                <w:b/>
              </w:rPr>
            </w:pPr>
            <w:r w:rsidRPr="00354BF8">
              <w:rPr>
                <w:rFonts w:cs="Poppins"/>
                <w:b/>
              </w:rPr>
              <w:t>Access to primary care</w:t>
            </w:r>
          </w:p>
        </w:tc>
        <w:tc>
          <w:tcPr>
            <w:tcW w:w="7272" w:type="dxa"/>
            <w:shd w:val="clear" w:color="auto" w:fill="E5F4FB" w:themeFill="accent6" w:themeFillTint="33"/>
          </w:tcPr>
          <w:p w14:paraId="1D901A50" w14:textId="77777777" w:rsidR="00DE76AD" w:rsidRPr="00354BF8" w:rsidRDefault="00DE76AD" w:rsidP="00944A1B">
            <w:pPr>
              <w:rPr>
                <w:rFonts w:cs="Poppins"/>
                <w:b/>
              </w:rPr>
            </w:pPr>
            <w:r w:rsidRPr="00354BF8">
              <w:rPr>
                <w:rFonts w:cs="Poppins"/>
                <w:b/>
              </w:rPr>
              <w:t>Long term outcomes:</w:t>
            </w:r>
          </w:p>
          <w:p w14:paraId="3C4E4023" w14:textId="77777777" w:rsidR="00DE76AD" w:rsidRPr="00C75C54" w:rsidRDefault="00DE76AD" w:rsidP="00944A1B">
            <w:pPr>
              <w:pStyle w:val="ListBullet"/>
              <w:rPr>
                <w:rFonts w:cs="Poppins"/>
              </w:rPr>
            </w:pPr>
            <w:r w:rsidRPr="00C75C54">
              <w:rPr>
                <w:rFonts w:cs="Poppins"/>
              </w:rPr>
              <w:t>Primary care is meeting the needs of local people</w:t>
            </w:r>
          </w:p>
          <w:p w14:paraId="20FF5DBA" w14:textId="77777777" w:rsidR="00DE76AD" w:rsidRPr="00C75C54" w:rsidRDefault="00DE76AD" w:rsidP="00944A1B">
            <w:pPr>
              <w:pStyle w:val="ListBullet"/>
              <w:rPr>
                <w:rFonts w:cs="Poppins"/>
              </w:rPr>
            </w:pPr>
            <w:r w:rsidRPr="00C75C54">
              <w:rPr>
                <w:rFonts w:cs="Poppins"/>
              </w:rPr>
              <w:t xml:space="preserve">Better information and advice </w:t>
            </w:r>
            <w:proofErr w:type="gramStart"/>
            <w:r w:rsidRPr="00C75C54">
              <w:rPr>
                <w:rFonts w:cs="Poppins"/>
              </w:rPr>
              <w:t>is</w:t>
            </w:r>
            <w:proofErr w:type="gramEnd"/>
            <w:r w:rsidRPr="00C75C54">
              <w:rPr>
                <w:rFonts w:cs="Poppins"/>
              </w:rPr>
              <w:t xml:space="preserve"> available</w:t>
            </w:r>
          </w:p>
          <w:p w14:paraId="7FBB6855" w14:textId="77777777" w:rsidR="00DE76AD" w:rsidRPr="00C75C54" w:rsidRDefault="00DE76AD" w:rsidP="00944A1B">
            <w:pPr>
              <w:pStyle w:val="ListBullet"/>
              <w:rPr>
                <w:rFonts w:cs="Poppins"/>
              </w:rPr>
            </w:pPr>
            <w:r w:rsidRPr="00C75C54">
              <w:rPr>
                <w:rFonts w:cs="Poppins"/>
              </w:rPr>
              <w:t>Integration of services mean better access to primary care</w:t>
            </w:r>
          </w:p>
        </w:tc>
      </w:tr>
      <w:tr w:rsidR="00DE76AD" w:rsidRPr="00AA6737" w14:paraId="79D475CD" w14:textId="77777777" w:rsidTr="00A82DEE">
        <w:trPr>
          <w:cantSplit/>
        </w:trPr>
        <w:tc>
          <w:tcPr>
            <w:tcW w:w="2646" w:type="dxa"/>
            <w:shd w:val="clear" w:color="auto" w:fill="E5F4FB" w:themeFill="accent6" w:themeFillTint="33"/>
          </w:tcPr>
          <w:p w14:paraId="00F48485" w14:textId="77777777" w:rsidR="00DE76AD" w:rsidRPr="00354BF8" w:rsidRDefault="00DE76AD" w:rsidP="00944A1B">
            <w:pPr>
              <w:rPr>
                <w:rFonts w:cs="Poppins"/>
                <w:b/>
              </w:rPr>
            </w:pPr>
            <w:r w:rsidRPr="00354BF8">
              <w:rPr>
                <w:rFonts w:cs="Poppins"/>
                <w:b/>
              </w:rPr>
              <w:lastRenderedPageBreak/>
              <w:t>Social care</w:t>
            </w:r>
          </w:p>
        </w:tc>
        <w:tc>
          <w:tcPr>
            <w:tcW w:w="7272" w:type="dxa"/>
            <w:shd w:val="clear" w:color="auto" w:fill="E5F4FB" w:themeFill="accent6" w:themeFillTint="33"/>
          </w:tcPr>
          <w:p w14:paraId="3F8C88D4" w14:textId="77777777" w:rsidR="00DE76AD" w:rsidRPr="00354BF8" w:rsidRDefault="00DE76AD" w:rsidP="00944A1B">
            <w:pPr>
              <w:rPr>
                <w:rFonts w:cs="Poppins"/>
                <w:b/>
              </w:rPr>
            </w:pPr>
            <w:r w:rsidRPr="00354BF8">
              <w:rPr>
                <w:rFonts w:cs="Poppins"/>
                <w:b/>
              </w:rPr>
              <w:t>Long term outcomes:</w:t>
            </w:r>
          </w:p>
          <w:p w14:paraId="0D6A14CC" w14:textId="77777777" w:rsidR="00DE76AD" w:rsidRPr="00C75C54" w:rsidRDefault="00DE76AD" w:rsidP="00944A1B">
            <w:pPr>
              <w:pStyle w:val="ListBullet"/>
              <w:rPr>
                <w:rFonts w:cs="Poppins"/>
              </w:rPr>
            </w:pPr>
            <w:r w:rsidRPr="00C75C54">
              <w:rPr>
                <w:rFonts w:cs="Poppins"/>
              </w:rPr>
              <w:t>As a team we have a sound understanding of social care</w:t>
            </w:r>
          </w:p>
          <w:p w14:paraId="39AC84A4" w14:textId="77777777" w:rsidR="00DE76AD" w:rsidRPr="00C75C54" w:rsidRDefault="00DE76AD" w:rsidP="00944A1B">
            <w:pPr>
              <w:pStyle w:val="ListBullet"/>
              <w:rPr>
                <w:rFonts w:cs="Poppins"/>
              </w:rPr>
            </w:pPr>
            <w:r w:rsidRPr="00C75C54">
              <w:rPr>
                <w:rFonts w:cs="Poppins"/>
              </w:rPr>
              <w:t>We can better support local people</w:t>
            </w:r>
          </w:p>
          <w:p w14:paraId="2A6959B4" w14:textId="77777777" w:rsidR="00DE76AD" w:rsidRPr="00C75C54" w:rsidRDefault="00DE76AD" w:rsidP="00944A1B">
            <w:pPr>
              <w:pStyle w:val="ListBullet"/>
              <w:rPr>
                <w:rFonts w:cs="Poppins"/>
              </w:rPr>
            </w:pPr>
            <w:r>
              <w:rPr>
                <w:rFonts w:cs="Poppins"/>
              </w:rPr>
              <w:t>We can b</w:t>
            </w:r>
            <w:r w:rsidRPr="00C75C54">
              <w:rPr>
                <w:rFonts w:cs="Poppins"/>
              </w:rPr>
              <w:t>etter support social care</w:t>
            </w:r>
          </w:p>
          <w:p w14:paraId="26A304DE" w14:textId="77777777" w:rsidR="00DE76AD" w:rsidRPr="00C75C54" w:rsidRDefault="00DE76AD" w:rsidP="00944A1B">
            <w:pPr>
              <w:pStyle w:val="ListBullet"/>
              <w:rPr>
                <w:rFonts w:cs="Poppins"/>
              </w:rPr>
            </w:pPr>
            <w:r w:rsidRPr="00C75C54">
              <w:rPr>
                <w:rFonts w:cs="Poppins"/>
              </w:rPr>
              <w:t xml:space="preserve">Social care </w:t>
            </w:r>
            <w:proofErr w:type="gramStart"/>
            <w:r w:rsidRPr="00C75C54">
              <w:rPr>
                <w:rFonts w:cs="Poppins"/>
              </w:rPr>
              <w:t>listen</w:t>
            </w:r>
            <w:proofErr w:type="gramEnd"/>
            <w:r w:rsidRPr="00C75C54">
              <w:rPr>
                <w:rFonts w:cs="Poppins"/>
              </w:rPr>
              <w:t xml:space="preserve"> more to feedback</w:t>
            </w:r>
            <w:r>
              <w:rPr>
                <w:rFonts w:cs="Poppins"/>
              </w:rPr>
              <w:t xml:space="preserve"> from local people</w:t>
            </w:r>
          </w:p>
          <w:p w14:paraId="56FE6E25" w14:textId="77777777" w:rsidR="00DE76AD" w:rsidRPr="00C75C54" w:rsidRDefault="00DE76AD" w:rsidP="00944A1B">
            <w:pPr>
              <w:rPr>
                <w:rFonts w:cs="Poppins"/>
              </w:rPr>
            </w:pPr>
            <w:r w:rsidRPr="00C75C54">
              <w:rPr>
                <w:rFonts w:cs="Poppins"/>
              </w:rPr>
              <w:t>Overall outcome: Services get better as a result</w:t>
            </w:r>
          </w:p>
        </w:tc>
      </w:tr>
      <w:tr w:rsidR="00DE76AD" w:rsidRPr="00AA6737" w14:paraId="1AD428F5" w14:textId="77777777" w:rsidTr="00A82DEE">
        <w:tc>
          <w:tcPr>
            <w:tcW w:w="2646" w:type="dxa"/>
            <w:shd w:val="clear" w:color="auto" w:fill="E5F4FB" w:themeFill="accent6" w:themeFillTint="33"/>
          </w:tcPr>
          <w:p w14:paraId="66B83D0B" w14:textId="77777777" w:rsidR="00DE76AD" w:rsidRPr="00354BF8" w:rsidRDefault="00DE76AD" w:rsidP="00944A1B">
            <w:pPr>
              <w:rPr>
                <w:rFonts w:cs="Poppins"/>
                <w:b/>
              </w:rPr>
            </w:pPr>
            <w:r w:rsidRPr="00354BF8">
              <w:rPr>
                <w:rFonts w:cs="Poppins"/>
                <w:b/>
              </w:rPr>
              <w:t>Mental health</w:t>
            </w:r>
          </w:p>
        </w:tc>
        <w:tc>
          <w:tcPr>
            <w:tcW w:w="7272" w:type="dxa"/>
            <w:shd w:val="clear" w:color="auto" w:fill="E5F4FB" w:themeFill="accent6" w:themeFillTint="33"/>
          </w:tcPr>
          <w:p w14:paraId="450ACDB3" w14:textId="77777777" w:rsidR="00DE76AD" w:rsidRPr="00354BF8" w:rsidRDefault="00DE76AD" w:rsidP="00944A1B">
            <w:pPr>
              <w:rPr>
                <w:rFonts w:cs="Poppins"/>
                <w:b/>
              </w:rPr>
            </w:pPr>
            <w:r w:rsidRPr="00354BF8">
              <w:rPr>
                <w:rFonts w:cs="Poppins"/>
                <w:b/>
              </w:rPr>
              <w:t>Long term outcomes:</w:t>
            </w:r>
          </w:p>
          <w:p w14:paraId="4A822BC9" w14:textId="77777777" w:rsidR="00DE76AD" w:rsidRPr="00C75C54" w:rsidRDefault="00DE76AD" w:rsidP="00944A1B">
            <w:pPr>
              <w:pStyle w:val="ListBullet"/>
              <w:rPr>
                <w:rFonts w:cs="Poppins"/>
              </w:rPr>
            </w:pPr>
            <w:r w:rsidRPr="00C75C54">
              <w:rPr>
                <w:rFonts w:cs="Poppins"/>
              </w:rPr>
              <w:t>Effective signposting helping people find support</w:t>
            </w:r>
          </w:p>
          <w:p w14:paraId="7ED69D1A" w14:textId="77777777" w:rsidR="00DE76AD" w:rsidRPr="00C75C54" w:rsidRDefault="00DE76AD" w:rsidP="00944A1B">
            <w:pPr>
              <w:pStyle w:val="ListBullet"/>
              <w:rPr>
                <w:rFonts w:cs="Poppins"/>
              </w:rPr>
            </w:pPr>
            <w:r w:rsidRPr="00C75C54">
              <w:rPr>
                <w:rFonts w:cs="Poppins"/>
              </w:rPr>
              <w:t xml:space="preserve">Better </w:t>
            </w:r>
            <w:r w:rsidRPr="00781334">
              <w:rPr>
                <w:rFonts w:cs="Poppins"/>
              </w:rPr>
              <w:t>relationships with all parts of the system who hear feedback on services</w:t>
            </w:r>
          </w:p>
          <w:p w14:paraId="0A55DB8B" w14:textId="77777777" w:rsidR="00DE76AD" w:rsidRPr="00C75C54" w:rsidRDefault="00DE76AD" w:rsidP="00944A1B">
            <w:pPr>
              <w:rPr>
                <w:rFonts w:cs="Poppins"/>
              </w:rPr>
            </w:pPr>
            <w:r w:rsidRPr="00C75C54">
              <w:rPr>
                <w:rFonts w:cs="Poppins"/>
              </w:rPr>
              <w:t xml:space="preserve">Overall outcome: Healthwatch </w:t>
            </w:r>
            <w:r>
              <w:rPr>
                <w:rFonts w:cs="Poppins"/>
              </w:rPr>
              <w:t xml:space="preserve">Surrey </w:t>
            </w:r>
            <w:r w:rsidRPr="00C75C54">
              <w:rPr>
                <w:rFonts w:cs="Poppins"/>
              </w:rPr>
              <w:t>challenge services to reflect people’s needs</w:t>
            </w:r>
          </w:p>
        </w:tc>
      </w:tr>
      <w:tr w:rsidR="00DE76AD" w:rsidRPr="00AA6737" w14:paraId="5C04BBA1" w14:textId="77777777" w:rsidTr="00A82DEE">
        <w:tc>
          <w:tcPr>
            <w:tcW w:w="2646" w:type="dxa"/>
            <w:shd w:val="clear" w:color="auto" w:fill="E5F4FB" w:themeFill="accent6" w:themeFillTint="33"/>
          </w:tcPr>
          <w:p w14:paraId="58340117" w14:textId="77777777" w:rsidR="00DE76AD" w:rsidRPr="00354BF8" w:rsidRDefault="00DE76AD" w:rsidP="00944A1B">
            <w:pPr>
              <w:rPr>
                <w:rFonts w:cs="Poppins"/>
                <w:b/>
              </w:rPr>
            </w:pPr>
            <w:r w:rsidRPr="00354BF8">
              <w:rPr>
                <w:rFonts w:cs="Poppins"/>
                <w:b/>
              </w:rPr>
              <w:t>Involvement of people</w:t>
            </w:r>
          </w:p>
        </w:tc>
        <w:tc>
          <w:tcPr>
            <w:tcW w:w="7272" w:type="dxa"/>
            <w:shd w:val="clear" w:color="auto" w:fill="E5F4FB" w:themeFill="accent6" w:themeFillTint="33"/>
          </w:tcPr>
          <w:p w14:paraId="5E1AB123" w14:textId="77777777" w:rsidR="00DE76AD" w:rsidRPr="00354BF8" w:rsidRDefault="00DE76AD" w:rsidP="00944A1B">
            <w:pPr>
              <w:rPr>
                <w:rFonts w:cs="Poppins"/>
                <w:b/>
              </w:rPr>
            </w:pPr>
            <w:r w:rsidRPr="00354BF8">
              <w:rPr>
                <w:rFonts w:cs="Poppins"/>
                <w:b/>
              </w:rPr>
              <w:t>Long term outcomes:</w:t>
            </w:r>
          </w:p>
          <w:p w14:paraId="410A6721" w14:textId="1A94642E" w:rsidR="00DE76AD" w:rsidRPr="00C75C54" w:rsidRDefault="00DE76AD" w:rsidP="00944A1B">
            <w:pPr>
              <w:pStyle w:val="ListBullet"/>
              <w:rPr>
                <w:rFonts w:cs="Poppins"/>
              </w:rPr>
            </w:pPr>
            <w:r w:rsidRPr="00C75C54">
              <w:rPr>
                <w:rFonts w:cs="Poppins"/>
              </w:rPr>
              <w:t xml:space="preserve">Feedback is </w:t>
            </w:r>
            <w:r w:rsidR="001970B5">
              <w:rPr>
                <w:rFonts w:cs="Poppins"/>
              </w:rPr>
              <w:t xml:space="preserve">understood </w:t>
            </w:r>
            <w:r>
              <w:rPr>
                <w:rFonts w:cs="Poppins"/>
              </w:rPr>
              <w:t xml:space="preserve">as </w:t>
            </w:r>
            <w:r w:rsidR="001970B5">
              <w:rPr>
                <w:rFonts w:cs="Poppins"/>
              </w:rPr>
              <w:t>a requirement for</w:t>
            </w:r>
            <w:r w:rsidR="0024256F">
              <w:rPr>
                <w:rFonts w:cs="Poppins"/>
              </w:rPr>
              <w:t xml:space="preserve"> informed</w:t>
            </w:r>
            <w:r w:rsidRPr="00C75C54">
              <w:rPr>
                <w:rFonts w:cs="Poppins"/>
              </w:rPr>
              <w:t xml:space="preserve"> decision making</w:t>
            </w:r>
          </w:p>
          <w:p w14:paraId="4723278B" w14:textId="77777777" w:rsidR="00DE76AD" w:rsidRPr="00C75C54" w:rsidRDefault="00DE76AD" w:rsidP="00944A1B">
            <w:pPr>
              <w:pStyle w:val="ListBullet"/>
              <w:rPr>
                <w:rFonts w:cs="Poppins"/>
              </w:rPr>
            </w:pPr>
            <w:r w:rsidRPr="00C75C54">
              <w:rPr>
                <w:rFonts w:cs="Poppins"/>
              </w:rPr>
              <w:t>Equity in listening</w:t>
            </w:r>
          </w:p>
          <w:p w14:paraId="2AB0CF12" w14:textId="77777777" w:rsidR="00DE76AD" w:rsidRPr="00C75C54" w:rsidRDefault="00DE76AD" w:rsidP="00944A1B">
            <w:pPr>
              <w:pStyle w:val="ListBullet"/>
              <w:rPr>
                <w:rFonts w:cs="Poppins"/>
              </w:rPr>
            </w:pPr>
            <w:r w:rsidRPr="00C75C54">
              <w:rPr>
                <w:rFonts w:cs="Poppins"/>
              </w:rPr>
              <w:t xml:space="preserve">Promotion of Healthwatch Surrey </w:t>
            </w:r>
          </w:p>
        </w:tc>
      </w:tr>
      <w:tr w:rsidR="00DE76AD" w:rsidRPr="00C75C54" w14:paraId="24C1C97C" w14:textId="77777777" w:rsidTr="00A82DEE">
        <w:tc>
          <w:tcPr>
            <w:tcW w:w="2646" w:type="dxa"/>
            <w:shd w:val="clear" w:color="auto" w:fill="BCFFF0" w:themeFill="accent5" w:themeFillTint="33"/>
          </w:tcPr>
          <w:p w14:paraId="3C9F0460" w14:textId="77777777" w:rsidR="00DE76AD" w:rsidRPr="00354BF8" w:rsidRDefault="00DE76AD" w:rsidP="00944A1B">
            <w:pPr>
              <w:rPr>
                <w:rFonts w:cs="Poppins"/>
                <w:b/>
                <w:bCs/>
              </w:rPr>
            </w:pPr>
            <w:r w:rsidRPr="00354BF8">
              <w:rPr>
                <w:rFonts w:cs="Poppins"/>
                <w:b/>
                <w:bCs/>
              </w:rPr>
              <w:t xml:space="preserve">In line with our priorities we commit </w:t>
            </w:r>
            <w:r>
              <w:rPr>
                <w:rFonts w:cs="Poppins"/>
                <w:b/>
                <w:bCs/>
              </w:rPr>
              <w:t xml:space="preserve">as a staff team, Local Healthwatch Advisory Group and volunteers </w:t>
            </w:r>
            <w:r w:rsidRPr="00354BF8">
              <w:rPr>
                <w:rFonts w:cs="Poppins"/>
                <w:b/>
                <w:bCs/>
              </w:rPr>
              <w:t xml:space="preserve">to attend these </w:t>
            </w:r>
            <w:r>
              <w:rPr>
                <w:rFonts w:cs="Poppins"/>
                <w:b/>
                <w:bCs/>
              </w:rPr>
              <w:t>Boards and Committees.</w:t>
            </w:r>
          </w:p>
        </w:tc>
        <w:tc>
          <w:tcPr>
            <w:tcW w:w="7272" w:type="dxa"/>
            <w:shd w:val="clear" w:color="auto" w:fill="BCFFF0" w:themeFill="accent5" w:themeFillTint="33"/>
          </w:tcPr>
          <w:p w14:paraId="3B77BE80" w14:textId="77777777" w:rsidR="00DE76AD" w:rsidRPr="00C75C54" w:rsidRDefault="00DE76AD" w:rsidP="00944A1B">
            <w:pPr>
              <w:pStyle w:val="ListBullet"/>
            </w:pPr>
            <w:r w:rsidRPr="00C75C54">
              <w:t xml:space="preserve">Health and </w:t>
            </w:r>
            <w:r>
              <w:t>W</w:t>
            </w:r>
            <w:r w:rsidRPr="00C75C54">
              <w:t xml:space="preserve">ellbeing </w:t>
            </w:r>
            <w:r>
              <w:t>B</w:t>
            </w:r>
            <w:r w:rsidRPr="00C75C54">
              <w:t>oard</w:t>
            </w:r>
          </w:p>
          <w:p w14:paraId="7BD4165A" w14:textId="77777777" w:rsidR="00DE76AD" w:rsidRDefault="00DE76AD" w:rsidP="00944A1B">
            <w:pPr>
              <w:pStyle w:val="ListBullet"/>
            </w:pPr>
            <w:r>
              <w:t>Adult and Health Select Committee</w:t>
            </w:r>
          </w:p>
          <w:p w14:paraId="126A8371" w14:textId="77777777" w:rsidR="00DE76AD" w:rsidRDefault="00DE76AD" w:rsidP="00944A1B">
            <w:pPr>
              <w:pStyle w:val="ListBullet"/>
            </w:pPr>
            <w:r>
              <w:t>Surrey Heartlands Integrated Care Board</w:t>
            </w:r>
          </w:p>
          <w:p w14:paraId="1B414C90" w14:textId="77777777" w:rsidR="00DE76AD" w:rsidRDefault="00DE76AD" w:rsidP="00944A1B">
            <w:pPr>
              <w:pStyle w:val="ListBullet"/>
            </w:pPr>
            <w:r>
              <w:t>Surrey Heartlands Integrated Care Partnership (ICP)</w:t>
            </w:r>
          </w:p>
          <w:p w14:paraId="3322E0DE" w14:textId="77777777" w:rsidR="00DE76AD" w:rsidRDefault="00DE76AD" w:rsidP="00944A1B">
            <w:pPr>
              <w:pStyle w:val="ListBullet"/>
            </w:pPr>
            <w:r>
              <w:t>Children, Families, Lifelong Learning and Culture Select Committee</w:t>
            </w:r>
          </w:p>
          <w:p w14:paraId="5C197319" w14:textId="77777777" w:rsidR="00DE76AD" w:rsidRDefault="00DE76AD" w:rsidP="00944A1B">
            <w:pPr>
              <w:pStyle w:val="ListBullet"/>
            </w:pPr>
            <w:r>
              <w:t>Prevention and Wider Determinants of Health Board</w:t>
            </w:r>
          </w:p>
          <w:p w14:paraId="576166BD" w14:textId="77777777" w:rsidR="00DE76AD" w:rsidRDefault="00DE76AD" w:rsidP="00944A1B">
            <w:pPr>
              <w:pStyle w:val="ListBullet"/>
            </w:pPr>
            <w:r>
              <w:t>Joint Strategic Needs Assessment (JSNA) Oversight Group</w:t>
            </w:r>
          </w:p>
          <w:p w14:paraId="4EAF46A3" w14:textId="77777777" w:rsidR="00DE76AD" w:rsidRDefault="00DE76AD" w:rsidP="00944A1B">
            <w:pPr>
              <w:pStyle w:val="ListBullet"/>
            </w:pPr>
            <w:r>
              <w:t>Quality Performance and Assurance Committee</w:t>
            </w:r>
          </w:p>
          <w:p w14:paraId="3535BD39" w14:textId="77777777" w:rsidR="00DE76AD" w:rsidRDefault="00DE76AD" w:rsidP="00944A1B">
            <w:pPr>
              <w:pStyle w:val="ListBullet"/>
            </w:pPr>
            <w:r>
              <w:t>Disability Partnership Board</w:t>
            </w:r>
          </w:p>
          <w:p w14:paraId="69A8FDA9" w14:textId="77777777" w:rsidR="00DE76AD" w:rsidRDefault="00DE76AD" w:rsidP="00944A1B">
            <w:pPr>
              <w:pStyle w:val="ListBullet"/>
            </w:pPr>
            <w:r>
              <w:t>Carers Partnership Board</w:t>
            </w:r>
          </w:p>
          <w:p w14:paraId="131820F4" w14:textId="77777777" w:rsidR="00DE76AD" w:rsidRDefault="00DE76AD" w:rsidP="00944A1B">
            <w:pPr>
              <w:pStyle w:val="ListBullet"/>
            </w:pPr>
            <w:r>
              <w:t xml:space="preserve">Carers Providers </w:t>
            </w:r>
          </w:p>
          <w:p w14:paraId="1FB4DAFA" w14:textId="77777777" w:rsidR="00DE76AD" w:rsidRDefault="00DE76AD" w:rsidP="00944A1B">
            <w:pPr>
              <w:pStyle w:val="ListBullet"/>
            </w:pPr>
            <w:r w:rsidRPr="00A17A63">
              <w:t>Surrey Heartlands Healthcare Inequalities (core 20plus5) and NHS long term plan prevention plan meeting</w:t>
            </w:r>
          </w:p>
          <w:p w14:paraId="78417458" w14:textId="77777777" w:rsidR="00DE76AD" w:rsidRDefault="00DE76AD" w:rsidP="00944A1B">
            <w:pPr>
              <w:pStyle w:val="ListBullet"/>
            </w:pPr>
            <w:r>
              <w:t>Surrey Heartlands JIG</w:t>
            </w:r>
          </w:p>
          <w:p w14:paraId="021957C6" w14:textId="77777777" w:rsidR="00DE76AD" w:rsidRDefault="00DE76AD" w:rsidP="00944A1B">
            <w:pPr>
              <w:pStyle w:val="ListBullet"/>
            </w:pPr>
            <w:r>
              <w:lastRenderedPageBreak/>
              <w:t>Surrey Heartlands Health and Care Professional Committee</w:t>
            </w:r>
          </w:p>
          <w:p w14:paraId="2148E787" w14:textId="77777777" w:rsidR="00DE76AD" w:rsidRDefault="00DE76AD" w:rsidP="00944A1B">
            <w:pPr>
              <w:pStyle w:val="ListBullet"/>
            </w:pPr>
            <w:r>
              <w:t>Surrey Heartlands Access Board</w:t>
            </w:r>
          </w:p>
          <w:p w14:paraId="04E6DA0D" w14:textId="77777777" w:rsidR="00DE76AD" w:rsidRPr="00C75C54" w:rsidRDefault="00DE76AD" w:rsidP="00944A1B">
            <w:pPr>
              <w:pStyle w:val="ListBullet"/>
            </w:pPr>
            <w:r w:rsidRPr="00C75C54">
              <w:t>Surrey Heartlands Accessible Information Standard Work</w:t>
            </w:r>
            <w:r>
              <w:t>ing</w:t>
            </w:r>
            <w:r w:rsidRPr="00C75C54">
              <w:t xml:space="preserve"> Group</w:t>
            </w:r>
          </w:p>
          <w:p w14:paraId="2747CB16" w14:textId="77777777" w:rsidR="00DE76AD" w:rsidRDefault="00DE76AD" w:rsidP="00944A1B">
            <w:pPr>
              <w:pStyle w:val="ListBullet"/>
            </w:pPr>
            <w:r>
              <w:t>Surrey Charities Forum</w:t>
            </w:r>
          </w:p>
          <w:p w14:paraId="0846E4D6" w14:textId="77777777" w:rsidR="00DE76AD" w:rsidRPr="00EA1355" w:rsidRDefault="00DE76AD" w:rsidP="00944A1B">
            <w:pPr>
              <w:pStyle w:val="ListBullet"/>
            </w:pPr>
            <w:r>
              <w:t>VCSE Al</w:t>
            </w:r>
            <w:r w:rsidRPr="00EA1355">
              <w:t>li</w:t>
            </w:r>
            <w:r>
              <w:t>a</w:t>
            </w:r>
            <w:r w:rsidRPr="00EA1355">
              <w:t>nce</w:t>
            </w:r>
            <w:r>
              <w:t xml:space="preserve"> &amp; VCSE Voice Group</w:t>
            </w:r>
          </w:p>
          <w:p w14:paraId="22C5910E" w14:textId="77777777" w:rsidR="00DE76AD" w:rsidRPr="006827A1" w:rsidRDefault="00DE76AD" w:rsidP="00944A1B">
            <w:pPr>
              <w:pStyle w:val="ListBullet"/>
            </w:pPr>
            <w:r>
              <w:t>Surrey Heartlands Digital Inclusion Community</w:t>
            </w:r>
            <w:r w:rsidRPr="00C75C54" w:rsidDel="00185764">
              <w:t xml:space="preserve"> </w:t>
            </w:r>
          </w:p>
          <w:p w14:paraId="105A791E" w14:textId="77777777" w:rsidR="00DE76AD" w:rsidRDefault="00DE76AD" w:rsidP="00944A1B">
            <w:pPr>
              <w:pStyle w:val="ListBullet"/>
            </w:pPr>
            <w:r>
              <w:t>Communications Groups across Surrey Heartlands, Frimley Health, VCSE groups and Surrey Council</w:t>
            </w:r>
          </w:p>
          <w:p w14:paraId="79E51BC2" w14:textId="77777777" w:rsidR="00DE76AD" w:rsidRDefault="00DE76AD" w:rsidP="00944A1B">
            <w:pPr>
              <w:pStyle w:val="ListBullet"/>
            </w:pPr>
            <w:r>
              <w:t>Healthwatch England Networking meetings</w:t>
            </w:r>
          </w:p>
          <w:p w14:paraId="6566D397" w14:textId="77777777" w:rsidR="00DE76AD" w:rsidRDefault="00DE76AD" w:rsidP="00944A1B">
            <w:pPr>
              <w:pStyle w:val="ListBullet"/>
            </w:pPr>
            <w:r>
              <w:t>Boards and committees supporting primary care across Surrey Heartlands and Frimley</w:t>
            </w:r>
          </w:p>
          <w:p w14:paraId="34D03A46" w14:textId="77777777" w:rsidR="00DE76AD" w:rsidRDefault="00DE76AD" w:rsidP="00944A1B">
            <w:pPr>
              <w:pStyle w:val="ListBullet"/>
            </w:pPr>
            <w:r>
              <w:t>What we’re hearing meetings with Care Quality Commission (CQC), Public Health, Adult Social Care, Surrey Hospitals and at Place.</w:t>
            </w:r>
          </w:p>
          <w:p w14:paraId="335850EB" w14:textId="77777777" w:rsidR="00DE76AD" w:rsidRPr="00C75C54" w:rsidRDefault="00DE76AD" w:rsidP="00944A1B">
            <w:pPr>
              <w:pStyle w:val="ListBullet"/>
            </w:pPr>
            <w:r>
              <w:t>Surrey County Council Adult Social Care Partner Update meeting</w:t>
            </w:r>
          </w:p>
          <w:p w14:paraId="5E2517C5" w14:textId="77777777" w:rsidR="00DE76AD" w:rsidRDefault="00DE76AD" w:rsidP="00944A1B">
            <w:pPr>
              <w:pStyle w:val="ListBullet"/>
            </w:pPr>
            <w:r w:rsidRPr="00C75C54">
              <w:t>Surrey Safeguarding Adults Board</w:t>
            </w:r>
          </w:p>
          <w:p w14:paraId="500DB695" w14:textId="77777777" w:rsidR="00DE76AD" w:rsidRPr="00C75C54" w:rsidRDefault="00DE76AD" w:rsidP="00944A1B">
            <w:pPr>
              <w:pStyle w:val="ListBullet"/>
            </w:pPr>
            <w:r w:rsidRPr="00E32F37">
              <w:t xml:space="preserve">Surrey Safeguarding </w:t>
            </w:r>
            <w:proofErr w:type="spellStart"/>
            <w:r>
              <w:t>C</w:t>
            </w:r>
            <w:r w:rsidRPr="00E32F37">
              <w:t>hildrens</w:t>
            </w:r>
            <w:proofErr w:type="spellEnd"/>
            <w:r w:rsidRPr="00E32F37">
              <w:t xml:space="preserve"> </w:t>
            </w:r>
            <w:r>
              <w:t>P</w:t>
            </w:r>
            <w:r w:rsidRPr="00E32F37">
              <w:t xml:space="preserve">artnership </w:t>
            </w:r>
            <w:r>
              <w:t>E</w:t>
            </w:r>
            <w:r w:rsidRPr="00E32F37">
              <w:t xml:space="preserve">ngagement </w:t>
            </w:r>
            <w:r>
              <w:t>G</w:t>
            </w:r>
            <w:r w:rsidRPr="00E32F37">
              <w:t>roup</w:t>
            </w:r>
          </w:p>
          <w:p w14:paraId="3922600D" w14:textId="6713463E" w:rsidR="00DE76AD" w:rsidRDefault="00DE76AD" w:rsidP="00944A1B">
            <w:pPr>
              <w:pStyle w:val="ListBullet"/>
            </w:pPr>
            <w:r w:rsidRPr="00C75C54">
              <w:t xml:space="preserve">Surrey and Borders Partnership </w:t>
            </w:r>
            <w:r w:rsidR="00C8529E">
              <w:t>Quarterly update meeting</w:t>
            </w:r>
          </w:p>
          <w:p w14:paraId="2D0CA183" w14:textId="77777777" w:rsidR="00C8529E" w:rsidRDefault="00C8529E" w:rsidP="00C8529E">
            <w:pPr>
              <w:pStyle w:val="ListBullet"/>
            </w:pPr>
            <w:r>
              <w:t>Place Engagement meetings</w:t>
            </w:r>
          </w:p>
          <w:p w14:paraId="589CF32F" w14:textId="77777777" w:rsidR="00C8529E" w:rsidRDefault="00C8529E" w:rsidP="00C8529E">
            <w:pPr>
              <w:pStyle w:val="ListBullet"/>
            </w:pPr>
            <w:r>
              <w:t xml:space="preserve">Place Quality meetings </w:t>
            </w:r>
          </w:p>
          <w:p w14:paraId="182A2EB0" w14:textId="77777777" w:rsidR="00C8529E" w:rsidRDefault="00C8529E" w:rsidP="00C8529E">
            <w:pPr>
              <w:pStyle w:val="ListBullet"/>
            </w:pPr>
            <w:r w:rsidRPr="00C75C54">
              <w:t>Surrey Care Quality Quarterly Strategy m</w:t>
            </w:r>
            <w:r>
              <w:t>eeting</w:t>
            </w:r>
          </w:p>
          <w:p w14:paraId="76CB981A" w14:textId="77777777" w:rsidR="00DE76AD" w:rsidRPr="00C75C54" w:rsidRDefault="00DE76AD" w:rsidP="00944A1B">
            <w:pPr>
              <w:pStyle w:val="ListBullet"/>
            </w:pPr>
            <w:r w:rsidRPr="00C75C54">
              <w:t xml:space="preserve">Dementia Action Strategy Board </w:t>
            </w:r>
          </w:p>
          <w:p w14:paraId="7B972549" w14:textId="77777777" w:rsidR="00DE76AD" w:rsidRPr="00C75C54" w:rsidRDefault="00DE76AD" w:rsidP="00944A1B">
            <w:pPr>
              <w:pStyle w:val="ListBullet"/>
            </w:pPr>
            <w:r w:rsidRPr="00C75C54">
              <w:t>Independent Mental Health Network</w:t>
            </w:r>
          </w:p>
          <w:p w14:paraId="707E6DDC" w14:textId="77777777" w:rsidR="00DE76AD" w:rsidRPr="00C75C54" w:rsidRDefault="00DE76AD" w:rsidP="00944A1B">
            <w:pPr>
              <w:pStyle w:val="ListBullet"/>
            </w:pPr>
            <w:r w:rsidRPr="00C75C54">
              <w:t xml:space="preserve">User Voice and Engagement Coordination Group </w:t>
            </w:r>
          </w:p>
          <w:p w14:paraId="3D497301" w14:textId="77777777" w:rsidR="00DE76AD" w:rsidRDefault="00DE76AD" w:rsidP="00944A1B">
            <w:pPr>
              <w:pStyle w:val="ListBullet"/>
            </w:pPr>
            <w:r w:rsidRPr="00C75C54">
              <w:t>Co-production and Insight Group</w:t>
            </w:r>
          </w:p>
          <w:p w14:paraId="5B2C9FA9" w14:textId="77777777" w:rsidR="00DE76AD" w:rsidRDefault="00DE76AD" w:rsidP="00DE76AD">
            <w:pPr>
              <w:pStyle w:val="ListBullet"/>
            </w:pPr>
            <w:r>
              <w:t>Surrey Heartlands Participation and Involvement Group</w:t>
            </w:r>
          </w:p>
          <w:p w14:paraId="45CDBE5C" w14:textId="77777777" w:rsidR="00DE76AD" w:rsidRPr="00C75C54" w:rsidRDefault="00DE76AD" w:rsidP="00944A1B">
            <w:pPr>
              <w:pStyle w:val="ListBullet"/>
            </w:pPr>
            <w:r w:rsidRPr="00C75C54">
              <w:t>LeDeR Governance Panel meetings</w:t>
            </w:r>
          </w:p>
          <w:p w14:paraId="010CB6D4" w14:textId="77777777" w:rsidR="00DE76AD" w:rsidRPr="00C75C54" w:rsidRDefault="00DE76AD" w:rsidP="00944A1B">
            <w:pPr>
              <w:pStyle w:val="ListBullet"/>
            </w:pPr>
            <w:r w:rsidRPr="00C75C54">
              <w:t>Sexual Health Operational Group</w:t>
            </w:r>
          </w:p>
          <w:p w14:paraId="670E2887" w14:textId="5CAFC0CC" w:rsidR="00DE76AD" w:rsidRDefault="00DE76AD" w:rsidP="005B5CED">
            <w:pPr>
              <w:pStyle w:val="ListBullet"/>
            </w:pPr>
            <w:r w:rsidRPr="00C75C54">
              <w:t xml:space="preserve">Patient Experience </w:t>
            </w:r>
            <w:r w:rsidR="005B5CED">
              <w:t>meetings (various)</w:t>
            </w:r>
          </w:p>
          <w:p w14:paraId="25359FBB" w14:textId="77777777" w:rsidR="00DE76AD" w:rsidRDefault="00DE76AD" w:rsidP="00944A1B">
            <w:pPr>
              <w:pStyle w:val="ListBullet"/>
            </w:pPr>
            <w:r>
              <w:t>East Surrey First Community Forum</w:t>
            </w:r>
          </w:p>
          <w:p w14:paraId="7203D86A" w14:textId="0E795400" w:rsidR="00DE76AD" w:rsidRDefault="005B5CED" w:rsidP="00944A1B">
            <w:pPr>
              <w:pStyle w:val="ListBullet"/>
            </w:pPr>
            <w:r>
              <w:t>Place Board meetings</w:t>
            </w:r>
          </w:p>
          <w:p w14:paraId="40AC1581" w14:textId="5B2E9021" w:rsidR="00DE76AD" w:rsidRPr="00DE76AD" w:rsidRDefault="00DE76AD" w:rsidP="00DE76AD">
            <w:pPr>
              <w:pStyle w:val="ListBullet"/>
            </w:pPr>
            <w:r>
              <w:t>East Surrey Data Insights</w:t>
            </w:r>
          </w:p>
        </w:tc>
      </w:tr>
    </w:tbl>
    <w:p w14:paraId="7AE70575" w14:textId="77777777" w:rsidR="00DE76AD" w:rsidRDefault="00DE76AD" w:rsidP="00701C5C">
      <w:pPr>
        <w:rPr>
          <w:noProof/>
        </w:rPr>
      </w:pPr>
    </w:p>
    <w:p w14:paraId="4D3F4E9C" w14:textId="58316B1C" w:rsidR="00701C5C" w:rsidRDefault="00701C5C" w:rsidP="00701C5C">
      <w:r>
        <w:rPr>
          <w:noProof/>
        </w:rPr>
        <w:lastRenderedPageBreak/>
        <w:drawing>
          <wp:inline distT="0" distB="0" distL="0" distR="0" wp14:anchorId="0D61307A" wp14:editId="648D62A7">
            <wp:extent cx="883920" cy="883920"/>
            <wp:effectExtent l="0" t="0" r="0" b="0"/>
            <wp:docPr id="1001377751" name="Picture 3"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7751" name="Picture 3" descr="Within a deep blue circle, is a star with the words Impact Awards 2023. Underneath the star are the words Healthwatch and Commend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83920" cy="883920"/>
                    </a:xfrm>
                    <a:prstGeom prst="rect">
                      <a:avLst/>
                    </a:prstGeom>
                    <a:noFill/>
                    <a:ln>
                      <a:noFill/>
                    </a:ln>
                  </pic:spPr>
                </pic:pic>
              </a:graphicData>
            </a:graphic>
          </wp:inline>
        </w:drawing>
      </w:r>
    </w:p>
    <w:p w14:paraId="10B7A292" w14:textId="77777777" w:rsidR="00701C5C" w:rsidRDefault="00142FD7" w:rsidP="00701C5C">
      <w:r w:rsidRPr="00142FD7">
        <w:rPr>
          <w:color w:val="004F6B"/>
        </w:rPr>
        <w:t>We are proud to be commended in the National Healthwatch Impact Awards</w:t>
      </w:r>
      <w:r w:rsidR="00701C5C">
        <w:rPr>
          <w:color w:val="004F6B"/>
        </w:rPr>
        <w:t xml:space="preserve">, recognising our work helping to improve local NHS and social care. You can view </w:t>
      </w:r>
      <w:hyperlink r:id="rId14" w:history="1">
        <w:r w:rsidR="00701C5C">
          <w:rPr>
            <w:rStyle w:val="Hyperlink"/>
          </w:rPr>
          <w:t>our video</w:t>
        </w:r>
      </w:hyperlink>
      <w:r w:rsidR="00701C5C">
        <w:rPr>
          <w:color w:val="004F6B"/>
        </w:rPr>
        <w:t xml:space="preserve"> highlighting how feedback from local people has been used to make positive changes to health and social care support.  </w:t>
      </w:r>
    </w:p>
    <w:p w14:paraId="6FE48417" w14:textId="77777777" w:rsidR="00701C5C" w:rsidRDefault="00701C5C" w:rsidP="00701C5C">
      <w:r>
        <w:rPr>
          <w:color w:val="004F6B"/>
        </w:rPr>
        <w:t> </w:t>
      </w:r>
    </w:p>
    <w:p w14:paraId="2CAC6A61" w14:textId="77777777" w:rsidR="00701C5C" w:rsidRDefault="00701C5C" w:rsidP="00701C5C">
      <w:pPr>
        <w:spacing w:line="360" w:lineRule="auto"/>
      </w:pPr>
      <w:r>
        <w:rPr>
          <w:noProof/>
          <w:color w:val="004F6B"/>
        </w:rPr>
        <w:drawing>
          <wp:inline distT="0" distB="0" distL="0" distR="0" wp14:anchorId="1F0E9290" wp14:editId="0D195563">
            <wp:extent cx="1920240" cy="647700"/>
            <wp:effectExtent l="0" t="0" r="3810" b="0"/>
            <wp:docPr id="137240656"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D79E72C" w14:textId="77777777" w:rsidR="00701C5C" w:rsidRDefault="00701C5C" w:rsidP="00701C5C">
      <w:r>
        <w:rPr>
          <w:color w:val="004F6B"/>
        </w:rPr>
        <w:t xml:space="preserve">We are committed to the quality of our information. </w:t>
      </w:r>
    </w:p>
    <w:p w14:paraId="78A67E50" w14:textId="77777777" w:rsidR="00701C5C" w:rsidRDefault="00701C5C" w:rsidP="00701C5C">
      <w:r>
        <w:rPr>
          <w:color w:val="004F6B"/>
        </w:rPr>
        <w:t>Every three years we perform an audit so that we can be certain of this.</w:t>
      </w:r>
    </w:p>
    <w:p w14:paraId="2648C2AB" w14:textId="77777777" w:rsidR="00701C5C" w:rsidRDefault="00701C5C" w:rsidP="00701C5C">
      <w:r>
        <w:rPr>
          <w:color w:val="004F6B"/>
        </w:rPr>
        <w:t> </w:t>
      </w:r>
    </w:p>
    <w:p w14:paraId="5060DA7C" w14:textId="77777777" w:rsidR="00701C5C" w:rsidRDefault="00701C5C" w:rsidP="00701C5C">
      <w:r>
        <w:rPr>
          <w:noProof/>
          <w:color w:val="004F6B"/>
        </w:rPr>
        <w:drawing>
          <wp:inline distT="0" distB="0" distL="0" distR="0" wp14:anchorId="1FED7DD9" wp14:editId="7501C139">
            <wp:extent cx="1478280" cy="342900"/>
            <wp:effectExtent l="0" t="0" r="7620" b="0"/>
            <wp:docPr id="1170123146"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2EAAA203" w14:textId="77777777" w:rsidR="00701C5C" w:rsidRDefault="00701C5C" w:rsidP="00701C5C">
      <w:r>
        <w:rPr>
          <w:color w:val="004F6B"/>
        </w:rPr>
        <w:t>The Healthwatch Surrey service is run by Luminus Insight CIC, known as Luminus.</w:t>
      </w:r>
    </w:p>
    <w:p w14:paraId="63161432" w14:textId="77777777" w:rsidR="00701C5C" w:rsidRDefault="00701C5C" w:rsidP="00701C5C">
      <w:r>
        <w:rPr>
          <w:color w:val="004F6B"/>
        </w:rPr>
        <w:t>Registered office: GF21, Astolat, Coniers Way, Burpham, Surrey, GU4 7HL.</w:t>
      </w:r>
    </w:p>
    <w:p w14:paraId="6111AA76" w14:textId="77777777" w:rsidR="00701C5C" w:rsidRDefault="00701C5C" w:rsidP="00701C5C">
      <w:r>
        <w:t> </w:t>
      </w:r>
    </w:p>
    <w:p w14:paraId="7DC56B12" w14:textId="77777777" w:rsidR="00BC5343" w:rsidRDefault="00BC5343" w:rsidP="00701C5C"/>
    <w:sectPr w:rsidR="00BC5343" w:rsidSect="00DE76AD">
      <w:headerReference w:type="default" r:id="rId17"/>
      <w:footerReference w:type="default" r:id="rId18"/>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4523" w14:textId="77777777" w:rsidR="00DE76AD" w:rsidRDefault="00DE76AD" w:rsidP="00810BB9">
      <w:r>
        <w:separator/>
      </w:r>
    </w:p>
  </w:endnote>
  <w:endnote w:type="continuationSeparator" w:id="0">
    <w:p w14:paraId="3E5361A3" w14:textId="77777777" w:rsidR="00DE76AD" w:rsidRDefault="00DE76AD" w:rsidP="00810BB9">
      <w:r>
        <w:continuationSeparator/>
      </w:r>
    </w:p>
  </w:endnote>
  <w:endnote w:type="continuationNotice" w:id="1">
    <w:p w14:paraId="5CF8A19A" w14:textId="77777777" w:rsidR="00DE76AD" w:rsidRDefault="00DE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BE19" w14:textId="3F244768" w:rsidR="006E06AA" w:rsidRDefault="00D772B9">
    <w:pPr>
      <w:pStyle w:val="Footer"/>
      <w:jc w:val="right"/>
    </w:pPr>
    <w:r w:rsidRPr="006434C8">
      <w:rPr>
        <w:noProof/>
        <w:sz w:val="20"/>
      </w:rPr>
      <mc:AlternateContent>
        <mc:Choice Requires="wps">
          <w:drawing>
            <wp:anchor distT="45720" distB="45720" distL="114300" distR="114300" simplePos="0" relativeHeight="251662336" behindDoc="0" locked="0" layoutInCell="1" allowOverlap="1" wp14:anchorId="3165F338" wp14:editId="2F306DE2">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0C595166" w14:textId="2A80FED4" w:rsidR="00C46DF9" w:rsidRPr="006434C8" w:rsidRDefault="00DE76AD" w:rsidP="00C46DF9">
                          <w:pPr>
                            <w:rPr>
                              <w:color w:val="FFFFFF" w:themeColor="background1"/>
                            </w:rPr>
                          </w:pPr>
                          <w:r>
                            <w:rPr>
                              <w:color w:val="FFFFFF" w:themeColor="background1"/>
                            </w:rPr>
                            <w:t>Healthwatch Surrey Work Plan 2024 - 2025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5F338" id="_x0000_t202" coordsize="21600,21600" o:spt="202" path="m,l,21600r21600,l21600,xe">
              <v:stroke joinstyle="miter"/>
              <v:path gradientshapeok="t" o:connecttype="rect"/>
            </v:shapetype>
            <v:shape id="Text Box 2" o:spid="_x0000_s1026" type="#_x0000_t202" style="position:absolute;left:0;text-align:left;margin-left:-46.8pt;margin-top:20.3pt;width:283.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0C595166" w14:textId="2A80FED4" w:rsidR="00C46DF9" w:rsidRPr="006434C8" w:rsidRDefault="00DE76AD" w:rsidP="00C46DF9">
                    <w:pPr>
                      <w:rPr>
                        <w:color w:val="FFFFFF" w:themeColor="background1"/>
                      </w:rPr>
                    </w:pPr>
                    <w:r>
                      <w:rPr>
                        <w:color w:val="FFFFFF" w:themeColor="background1"/>
                      </w:rPr>
                      <w:t>Healthwatch Surrey Work Plan 2024 - 2025</w:t>
                    </w:r>
                  </w:p>
                </w:txbxContent>
              </v:textbox>
              <w10:wrap type="square"/>
            </v:shape>
          </w:pict>
        </mc:Fallback>
      </mc:AlternateContent>
    </w:r>
    <w:r w:rsidR="00C46DF9">
      <w:rPr>
        <w:noProof/>
      </w:rPr>
      <w:drawing>
        <wp:anchor distT="0" distB="0" distL="114300" distR="114300" simplePos="0" relativeHeight="251657216" behindDoc="0" locked="0" layoutInCell="1" allowOverlap="1" wp14:anchorId="6FF435F7" wp14:editId="06C72DC9">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7278AA15" w14:textId="77777777" w:rsidR="00810BB9" w:rsidRDefault="00C46DF9">
    <w:pPr>
      <w:pStyle w:val="Footer"/>
    </w:pPr>
    <w:r>
      <w:rPr>
        <w:noProof/>
      </w:rPr>
      <mc:AlternateContent>
        <mc:Choice Requires="wps">
          <w:drawing>
            <wp:anchor distT="45720" distB="45720" distL="114300" distR="114300" simplePos="0" relativeHeight="251667456" behindDoc="0" locked="0" layoutInCell="1" allowOverlap="1" wp14:anchorId="22341E9C" wp14:editId="44870F0D">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DBB36E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41E9C" id="_x0000_s1027" type="#_x0000_t202" style="position:absolute;margin-left:473.4pt;margin-top:6.5pt;width:101.4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2DBB36EA"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BC53" w14:textId="77777777" w:rsidR="00DE76AD" w:rsidRDefault="00DE76AD" w:rsidP="00810BB9">
      <w:r>
        <w:separator/>
      </w:r>
    </w:p>
  </w:footnote>
  <w:footnote w:type="continuationSeparator" w:id="0">
    <w:p w14:paraId="0F962C64" w14:textId="77777777" w:rsidR="00DE76AD" w:rsidRDefault="00DE76AD" w:rsidP="00810BB9">
      <w:r>
        <w:continuationSeparator/>
      </w:r>
    </w:p>
  </w:footnote>
  <w:footnote w:type="continuationNotice" w:id="1">
    <w:p w14:paraId="7E9EBAC1" w14:textId="77777777" w:rsidR="00DE76AD" w:rsidRDefault="00DE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DB69" w14:textId="77777777" w:rsidR="0009774D" w:rsidRDefault="00D82729" w:rsidP="0009774D">
    <w:pPr>
      <w:pStyle w:val="Header"/>
      <w:jc w:val="right"/>
    </w:pPr>
    <w:r>
      <w:rPr>
        <w:noProof/>
      </w:rPr>
      <mc:AlternateContent>
        <mc:Choice Requires="wps">
          <w:drawing>
            <wp:anchor distT="0" distB="0" distL="114300" distR="114300" simplePos="0" relativeHeight="251652096" behindDoc="0" locked="0" layoutInCell="1" allowOverlap="1" wp14:anchorId="46A2444B" wp14:editId="5A22C53D">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FE5" id="Straight Connector 2" o:spid="_x0000_s1026" alt="Green line used as a separator under the logo." style="position:absolute;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02F5A6C1" wp14:editId="250AFBA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pt;height:467.4pt" o:bullet="t">
        <v:imagedata r:id="rId1" o:title="OurVoice_250mm_HTML_RhodamineRed"/>
      </v:shape>
    </w:pict>
  </w:numPicBullet>
  <w:abstractNum w:abstractNumId="0" w15:restartNumberingAfterBreak="0">
    <w:nsid w:val="FFFFFF89"/>
    <w:multiLevelType w:val="singleLevel"/>
    <w:tmpl w:val="913AD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56C6186"/>
    <w:multiLevelType w:val="hybridMultilevel"/>
    <w:tmpl w:val="2E7A519A"/>
    <w:lvl w:ilvl="0" w:tplc="FE08129E">
      <w:start w:val="1"/>
      <w:numFmt w:val="bullet"/>
      <w:lvlText w:val=""/>
      <w:lvlJc w:val="left"/>
      <w:pPr>
        <w:ind w:left="720" w:hanging="360"/>
      </w:pPr>
      <w:rPr>
        <w:rFonts w:ascii="Symbol" w:hAnsi="Symbol"/>
      </w:rPr>
    </w:lvl>
    <w:lvl w:ilvl="1" w:tplc="B892443E">
      <w:start w:val="1"/>
      <w:numFmt w:val="bullet"/>
      <w:lvlText w:val=""/>
      <w:lvlJc w:val="left"/>
      <w:pPr>
        <w:ind w:left="720" w:hanging="360"/>
      </w:pPr>
      <w:rPr>
        <w:rFonts w:ascii="Symbol" w:hAnsi="Symbol"/>
      </w:rPr>
    </w:lvl>
    <w:lvl w:ilvl="2" w:tplc="89BC5212">
      <w:start w:val="1"/>
      <w:numFmt w:val="bullet"/>
      <w:lvlText w:val=""/>
      <w:lvlJc w:val="left"/>
      <w:pPr>
        <w:ind w:left="720" w:hanging="360"/>
      </w:pPr>
      <w:rPr>
        <w:rFonts w:ascii="Symbol" w:hAnsi="Symbol"/>
      </w:rPr>
    </w:lvl>
    <w:lvl w:ilvl="3" w:tplc="F8708C42">
      <w:start w:val="1"/>
      <w:numFmt w:val="bullet"/>
      <w:lvlText w:val=""/>
      <w:lvlJc w:val="left"/>
      <w:pPr>
        <w:ind w:left="720" w:hanging="360"/>
      </w:pPr>
      <w:rPr>
        <w:rFonts w:ascii="Symbol" w:hAnsi="Symbol"/>
      </w:rPr>
    </w:lvl>
    <w:lvl w:ilvl="4" w:tplc="3D485512">
      <w:start w:val="1"/>
      <w:numFmt w:val="bullet"/>
      <w:lvlText w:val=""/>
      <w:lvlJc w:val="left"/>
      <w:pPr>
        <w:ind w:left="720" w:hanging="360"/>
      </w:pPr>
      <w:rPr>
        <w:rFonts w:ascii="Symbol" w:hAnsi="Symbol"/>
      </w:rPr>
    </w:lvl>
    <w:lvl w:ilvl="5" w:tplc="E8C6A90C">
      <w:start w:val="1"/>
      <w:numFmt w:val="bullet"/>
      <w:lvlText w:val=""/>
      <w:lvlJc w:val="left"/>
      <w:pPr>
        <w:ind w:left="720" w:hanging="360"/>
      </w:pPr>
      <w:rPr>
        <w:rFonts w:ascii="Symbol" w:hAnsi="Symbol"/>
      </w:rPr>
    </w:lvl>
    <w:lvl w:ilvl="6" w:tplc="AD980A5C">
      <w:start w:val="1"/>
      <w:numFmt w:val="bullet"/>
      <w:lvlText w:val=""/>
      <w:lvlJc w:val="left"/>
      <w:pPr>
        <w:ind w:left="720" w:hanging="360"/>
      </w:pPr>
      <w:rPr>
        <w:rFonts w:ascii="Symbol" w:hAnsi="Symbol"/>
      </w:rPr>
    </w:lvl>
    <w:lvl w:ilvl="7" w:tplc="AF804994">
      <w:start w:val="1"/>
      <w:numFmt w:val="bullet"/>
      <w:lvlText w:val=""/>
      <w:lvlJc w:val="left"/>
      <w:pPr>
        <w:ind w:left="720" w:hanging="360"/>
      </w:pPr>
      <w:rPr>
        <w:rFonts w:ascii="Symbol" w:hAnsi="Symbol"/>
      </w:rPr>
    </w:lvl>
    <w:lvl w:ilvl="8" w:tplc="1F929E4A">
      <w:start w:val="1"/>
      <w:numFmt w:val="bullet"/>
      <w:lvlText w:val=""/>
      <w:lvlJc w:val="left"/>
      <w:pPr>
        <w:ind w:left="720" w:hanging="360"/>
      </w:pPr>
      <w:rPr>
        <w:rFonts w:ascii="Symbol" w:hAnsi="Symbol"/>
      </w:rPr>
    </w:lvl>
  </w:abstractNum>
  <w:abstractNum w:abstractNumId="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67921037">
    <w:abstractNumId w:val="8"/>
  </w:num>
  <w:num w:numId="7" w16cid:durableId="306862147">
    <w:abstractNumId w:val="7"/>
  </w:num>
  <w:num w:numId="8" w16cid:durableId="1108085124">
    <w:abstractNumId w:val="4"/>
  </w:num>
  <w:num w:numId="9" w16cid:durableId="100808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AD"/>
    <w:rsid w:val="00002479"/>
    <w:rsid w:val="00006F09"/>
    <w:rsid w:val="0002082F"/>
    <w:rsid w:val="00053592"/>
    <w:rsid w:val="000615A1"/>
    <w:rsid w:val="00065649"/>
    <w:rsid w:val="000659AF"/>
    <w:rsid w:val="00065B98"/>
    <w:rsid w:val="000663FF"/>
    <w:rsid w:val="00087669"/>
    <w:rsid w:val="00095222"/>
    <w:rsid w:val="00096A6A"/>
    <w:rsid w:val="0009774D"/>
    <w:rsid w:val="00097779"/>
    <w:rsid w:val="000A1739"/>
    <w:rsid w:val="000A2FE3"/>
    <w:rsid w:val="000A533C"/>
    <w:rsid w:val="000A6BE5"/>
    <w:rsid w:val="000B5B17"/>
    <w:rsid w:val="000B767D"/>
    <w:rsid w:val="000C3873"/>
    <w:rsid w:val="000C3DF5"/>
    <w:rsid w:val="000D3CC7"/>
    <w:rsid w:val="000E31A3"/>
    <w:rsid w:val="000F161B"/>
    <w:rsid w:val="00100172"/>
    <w:rsid w:val="0010697F"/>
    <w:rsid w:val="001121E7"/>
    <w:rsid w:val="00112A47"/>
    <w:rsid w:val="00130EC6"/>
    <w:rsid w:val="001363EA"/>
    <w:rsid w:val="00136C33"/>
    <w:rsid w:val="00141AC2"/>
    <w:rsid w:val="00142FD7"/>
    <w:rsid w:val="00153CE9"/>
    <w:rsid w:val="00162419"/>
    <w:rsid w:val="00170254"/>
    <w:rsid w:val="00192028"/>
    <w:rsid w:val="00192363"/>
    <w:rsid w:val="00192FBA"/>
    <w:rsid w:val="00196493"/>
    <w:rsid w:val="001970B5"/>
    <w:rsid w:val="001B18E1"/>
    <w:rsid w:val="001B2640"/>
    <w:rsid w:val="001B418D"/>
    <w:rsid w:val="001C7591"/>
    <w:rsid w:val="001D0575"/>
    <w:rsid w:val="001D451F"/>
    <w:rsid w:val="001D4848"/>
    <w:rsid w:val="001E2BA8"/>
    <w:rsid w:val="001E371C"/>
    <w:rsid w:val="0020377A"/>
    <w:rsid w:val="00207B26"/>
    <w:rsid w:val="00213466"/>
    <w:rsid w:val="00223B97"/>
    <w:rsid w:val="00223D58"/>
    <w:rsid w:val="00224A2F"/>
    <w:rsid w:val="00231046"/>
    <w:rsid w:val="00236625"/>
    <w:rsid w:val="0024256F"/>
    <w:rsid w:val="00244E9E"/>
    <w:rsid w:val="0024647D"/>
    <w:rsid w:val="00250ED9"/>
    <w:rsid w:val="00253B35"/>
    <w:rsid w:val="00254CB6"/>
    <w:rsid w:val="00256ED7"/>
    <w:rsid w:val="002610D3"/>
    <w:rsid w:val="00261ED1"/>
    <w:rsid w:val="00263547"/>
    <w:rsid w:val="00273001"/>
    <w:rsid w:val="002779F5"/>
    <w:rsid w:val="0028111A"/>
    <w:rsid w:val="002823CE"/>
    <w:rsid w:val="00284DF9"/>
    <w:rsid w:val="002850F3"/>
    <w:rsid w:val="00292CD9"/>
    <w:rsid w:val="00295D71"/>
    <w:rsid w:val="002B203B"/>
    <w:rsid w:val="002B32C7"/>
    <w:rsid w:val="002B3B46"/>
    <w:rsid w:val="002B7F7B"/>
    <w:rsid w:val="002C0679"/>
    <w:rsid w:val="002D0102"/>
    <w:rsid w:val="002D1DBC"/>
    <w:rsid w:val="002D588D"/>
    <w:rsid w:val="002E1487"/>
    <w:rsid w:val="002F36C6"/>
    <w:rsid w:val="002F43BB"/>
    <w:rsid w:val="00311C45"/>
    <w:rsid w:val="003144A9"/>
    <w:rsid w:val="00315C97"/>
    <w:rsid w:val="00341292"/>
    <w:rsid w:val="00347FEB"/>
    <w:rsid w:val="0035049B"/>
    <w:rsid w:val="00361F51"/>
    <w:rsid w:val="00373E21"/>
    <w:rsid w:val="00374B91"/>
    <w:rsid w:val="00376EA8"/>
    <w:rsid w:val="003774A3"/>
    <w:rsid w:val="003840AD"/>
    <w:rsid w:val="003A7B22"/>
    <w:rsid w:val="003B14CE"/>
    <w:rsid w:val="003C02B9"/>
    <w:rsid w:val="003C2F25"/>
    <w:rsid w:val="003C57B7"/>
    <w:rsid w:val="003D17CC"/>
    <w:rsid w:val="003D7DED"/>
    <w:rsid w:val="003E0ED3"/>
    <w:rsid w:val="003E1A12"/>
    <w:rsid w:val="003E7337"/>
    <w:rsid w:val="003F112E"/>
    <w:rsid w:val="003F192C"/>
    <w:rsid w:val="003F1F33"/>
    <w:rsid w:val="00400359"/>
    <w:rsid w:val="00402283"/>
    <w:rsid w:val="00413D57"/>
    <w:rsid w:val="0041440A"/>
    <w:rsid w:val="00427CCE"/>
    <w:rsid w:val="00432B52"/>
    <w:rsid w:val="00456D71"/>
    <w:rsid w:val="00463C86"/>
    <w:rsid w:val="00470317"/>
    <w:rsid w:val="00470911"/>
    <w:rsid w:val="004749F9"/>
    <w:rsid w:val="00476386"/>
    <w:rsid w:val="00486C09"/>
    <w:rsid w:val="004A4C43"/>
    <w:rsid w:val="004B0B8C"/>
    <w:rsid w:val="004B28C8"/>
    <w:rsid w:val="004C1522"/>
    <w:rsid w:val="004C2AC5"/>
    <w:rsid w:val="004C5A63"/>
    <w:rsid w:val="004D0E83"/>
    <w:rsid w:val="004D266E"/>
    <w:rsid w:val="004D4551"/>
    <w:rsid w:val="004D5FDB"/>
    <w:rsid w:val="004D7798"/>
    <w:rsid w:val="004D7B54"/>
    <w:rsid w:val="004E3BC2"/>
    <w:rsid w:val="004E6EA4"/>
    <w:rsid w:val="004F45A6"/>
    <w:rsid w:val="0050499F"/>
    <w:rsid w:val="00516E97"/>
    <w:rsid w:val="00517856"/>
    <w:rsid w:val="005258D8"/>
    <w:rsid w:val="00534700"/>
    <w:rsid w:val="005430F3"/>
    <w:rsid w:val="0055109F"/>
    <w:rsid w:val="00554FD5"/>
    <w:rsid w:val="00561BFB"/>
    <w:rsid w:val="00595D2E"/>
    <w:rsid w:val="00597F58"/>
    <w:rsid w:val="005A15FA"/>
    <w:rsid w:val="005A2B6E"/>
    <w:rsid w:val="005A6120"/>
    <w:rsid w:val="005B0802"/>
    <w:rsid w:val="005B5CED"/>
    <w:rsid w:val="005D080E"/>
    <w:rsid w:val="005D554C"/>
    <w:rsid w:val="005E03B2"/>
    <w:rsid w:val="005E5873"/>
    <w:rsid w:val="005E5F68"/>
    <w:rsid w:val="005F2E2A"/>
    <w:rsid w:val="00607C63"/>
    <w:rsid w:val="00611C87"/>
    <w:rsid w:val="00631E54"/>
    <w:rsid w:val="00632BB0"/>
    <w:rsid w:val="00635BA9"/>
    <w:rsid w:val="0064318B"/>
    <w:rsid w:val="00644A68"/>
    <w:rsid w:val="00646A59"/>
    <w:rsid w:val="00657420"/>
    <w:rsid w:val="006663C5"/>
    <w:rsid w:val="00680679"/>
    <w:rsid w:val="0069523B"/>
    <w:rsid w:val="006A0CFA"/>
    <w:rsid w:val="006A68FA"/>
    <w:rsid w:val="006B129D"/>
    <w:rsid w:val="006B3809"/>
    <w:rsid w:val="006B4898"/>
    <w:rsid w:val="006B51B5"/>
    <w:rsid w:val="006C0622"/>
    <w:rsid w:val="006C1D75"/>
    <w:rsid w:val="006C5BE5"/>
    <w:rsid w:val="006C7594"/>
    <w:rsid w:val="006C7C47"/>
    <w:rsid w:val="006D274A"/>
    <w:rsid w:val="006D4C85"/>
    <w:rsid w:val="006D4F2C"/>
    <w:rsid w:val="006D597E"/>
    <w:rsid w:val="006E06AA"/>
    <w:rsid w:val="006E6CA2"/>
    <w:rsid w:val="00700DAC"/>
    <w:rsid w:val="00701C5C"/>
    <w:rsid w:val="007031EF"/>
    <w:rsid w:val="00703842"/>
    <w:rsid w:val="00705249"/>
    <w:rsid w:val="0070576E"/>
    <w:rsid w:val="007072C3"/>
    <w:rsid w:val="00713801"/>
    <w:rsid w:val="00715CCB"/>
    <w:rsid w:val="0071746C"/>
    <w:rsid w:val="00730752"/>
    <w:rsid w:val="00747C0E"/>
    <w:rsid w:val="00756CCB"/>
    <w:rsid w:val="007639F9"/>
    <w:rsid w:val="007656C7"/>
    <w:rsid w:val="00795F45"/>
    <w:rsid w:val="007A70C8"/>
    <w:rsid w:val="007B4E49"/>
    <w:rsid w:val="007E191E"/>
    <w:rsid w:val="007E51B8"/>
    <w:rsid w:val="007E520E"/>
    <w:rsid w:val="007E53BC"/>
    <w:rsid w:val="007E78C6"/>
    <w:rsid w:val="007F096D"/>
    <w:rsid w:val="007F2F08"/>
    <w:rsid w:val="00801D27"/>
    <w:rsid w:val="008102E4"/>
    <w:rsid w:val="00810BB9"/>
    <w:rsid w:val="00810DCF"/>
    <w:rsid w:val="00812248"/>
    <w:rsid w:val="008128F3"/>
    <w:rsid w:val="00812B72"/>
    <w:rsid w:val="00815437"/>
    <w:rsid w:val="0081645E"/>
    <w:rsid w:val="00816B15"/>
    <w:rsid w:val="00820D7C"/>
    <w:rsid w:val="008210FA"/>
    <w:rsid w:val="00830081"/>
    <w:rsid w:val="00835F30"/>
    <w:rsid w:val="00844D8F"/>
    <w:rsid w:val="00853BEB"/>
    <w:rsid w:val="00853E0C"/>
    <w:rsid w:val="00857074"/>
    <w:rsid w:val="00861A85"/>
    <w:rsid w:val="0086405F"/>
    <w:rsid w:val="008676C1"/>
    <w:rsid w:val="00867D95"/>
    <w:rsid w:val="008A0DE4"/>
    <w:rsid w:val="008B5552"/>
    <w:rsid w:val="008B60E6"/>
    <w:rsid w:val="008B682A"/>
    <w:rsid w:val="008B702F"/>
    <w:rsid w:val="008B7698"/>
    <w:rsid w:val="008C1440"/>
    <w:rsid w:val="008C6806"/>
    <w:rsid w:val="008D1B4B"/>
    <w:rsid w:val="008D60D1"/>
    <w:rsid w:val="008D74A9"/>
    <w:rsid w:val="008E4E73"/>
    <w:rsid w:val="008E6AA1"/>
    <w:rsid w:val="008E7930"/>
    <w:rsid w:val="008F10F5"/>
    <w:rsid w:val="008F5806"/>
    <w:rsid w:val="008F7E23"/>
    <w:rsid w:val="00901F5A"/>
    <w:rsid w:val="00907929"/>
    <w:rsid w:val="00914B50"/>
    <w:rsid w:val="00915C80"/>
    <w:rsid w:val="0092437B"/>
    <w:rsid w:val="00930A3B"/>
    <w:rsid w:val="00936089"/>
    <w:rsid w:val="00936F7A"/>
    <w:rsid w:val="009542D3"/>
    <w:rsid w:val="009554FA"/>
    <w:rsid w:val="00964E13"/>
    <w:rsid w:val="00965686"/>
    <w:rsid w:val="009741C8"/>
    <w:rsid w:val="00982757"/>
    <w:rsid w:val="00986532"/>
    <w:rsid w:val="0099099B"/>
    <w:rsid w:val="00995F33"/>
    <w:rsid w:val="009B1510"/>
    <w:rsid w:val="009B3FCE"/>
    <w:rsid w:val="009C041E"/>
    <w:rsid w:val="009C0AC8"/>
    <w:rsid w:val="009D27DE"/>
    <w:rsid w:val="009D4FA3"/>
    <w:rsid w:val="009D719D"/>
    <w:rsid w:val="00A04206"/>
    <w:rsid w:val="00A13A5C"/>
    <w:rsid w:val="00A13B4E"/>
    <w:rsid w:val="00A2218E"/>
    <w:rsid w:val="00A2381E"/>
    <w:rsid w:val="00A44970"/>
    <w:rsid w:val="00A45CEE"/>
    <w:rsid w:val="00A5122A"/>
    <w:rsid w:val="00A518C9"/>
    <w:rsid w:val="00A53ACA"/>
    <w:rsid w:val="00A60545"/>
    <w:rsid w:val="00A82DEE"/>
    <w:rsid w:val="00A91321"/>
    <w:rsid w:val="00AA3838"/>
    <w:rsid w:val="00AA5E27"/>
    <w:rsid w:val="00AB7CF5"/>
    <w:rsid w:val="00AD0688"/>
    <w:rsid w:val="00AD1D8C"/>
    <w:rsid w:val="00AD22DE"/>
    <w:rsid w:val="00AD3AC3"/>
    <w:rsid w:val="00AF1D44"/>
    <w:rsid w:val="00AF3198"/>
    <w:rsid w:val="00AF4C64"/>
    <w:rsid w:val="00AF4D6D"/>
    <w:rsid w:val="00AF68E2"/>
    <w:rsid w:val="00B1402C"/>
    <w:rsid w:val="00B20D90"/>
    <w:rsid w:val="00B22309"/>
    <w:rsid w:val="00B3271A"/>
    <w:rsid w:val="00B336D5"/>
    <w:rsid w:val="00B3517D"/>
    <w:rsid w:val="00B36C43"/>
    <w:rsid w:val="00B36CD0"/>
    <w:rsid w:val="00B40D88"/>
    <w:rsid w:val="00B40F14"/>
    <w:rsid w:val="00B46D4A"/>
    <w:rsid w:val="00B51BF7"/>
    <w:rsid w:val="00B525BE"/>
    <w:rsid w:val="00B53216"/>
    <w:rsid w:val="00B55464"/>
    <w:rsid w:val="00B6087F"/>
    <w:rsid w:val="00B70198"/>
    <w:rsid w:val="00B855E5"/>
    <w:rsid w:val="00B9119B"/>
    <w:rsid w:val="00B94188"/>
    <w:rsid w:val="00B95765"/>
    <w:rsid w:val="00BA20DD"/>
    <w:rsid w:val="00BA4669"/>
    <w:rsid w:val="00BC0B86"/>
    <w:rsid w:val="00BC5343"/>
    <w:rsid w:val="00BC5483"/>
    <w:rsid w:val="00BE7701"/>
    <w:rsid w:val="00BF0EB3"/>
    <w:rsid w:val="00BF4ED7"/>
    <w:rsid w:val="00BF5A6D"/>
    <w:rsid w:val="00BF5F81"/>
    <w:rsid w:val="00C01E0F"/>
    <w:rsid w:val="00C049BA"/>
    <w:rsid w:val="00C07ECC"/>
    <w:rsid w:val="00C269AD"/>
    <w:rsid w:val="00C2701A"/>
    <w:rsid w:val="00C31145"/>
    <w:rsid w:val="00C40300"/>
    <w:rsid w:val="00C45A4D"/>
    <w:rsid w:val="00C46818"/>
    <w:rsid w:val="00C46DF9"/>
    <w:rsid w:val="00C51104"/>
    <w:rsid w:val="00C52F53"/>
    <w:rsid w:val="00C54D7C"/>
    <w:rsid w:val="00C5565F"/>
    <w:rsid w:val="00C61495"/>
    <w:rsid w:val="00C744F5"/>
    <w:rsid w:val="00C765FF"/>
    <w:rsid w:val="00C81703"/>
    <w:rsid w:val="00C82B9D"/>
    <w:rsid w:val="00C848A8"/>
    <w:rsid w:val="00C8529E"/>
    <w:rsid w:val="00C85507"/>
    <w:rsid w:val="00CA5C8F"/>
    <w:rsid w:val="00CA6B3F"/>
    <w:rsid w:val="00CB2A2B"/>
    <w:rsid w:val="00CB2B73"/>
    <w:rsid w:val="00CB4A04"/>
    <w:rsid w:val="00CB66D9"/>
    <w:rsid w:val="00CC11A5"/>
    <w:rsid w:val="00CC27B2"/>
    <w:rsid w:val="00CC6A2D"/>
    <w:rsid w:val="00CD27F9"/>
    <w:rsid w:val="00CD7DC5"/>
    <w:rsid w:val="00D04FA4"/>
    <w:rsid w:val="00D06F89"/>
    <w:rsid w:val="00D16C4C"/>
    <w:rsid w:val="00D17595"/>
    <w:rsid w:val="00D211B9"/>
    <w:rsid w:val="00D23892"/>
    <w:rsid w:val="00D26B79"/>
    <w:rsid w:val="00D275AB"/>
    <w:rsid w:val="00D36D7A"/>
    <w:rsid w:val="00D644EE"/>
    <w:rsid w:val="00D676A0"/>
    <w:rsid w:val="00D7162A"/>
    <w:rsid w:val="00D75798"/>
    <w:rsid w:val="00D75B06"/>
    <w:rsid w:val="00D772B9"/>
    <w:rsid w:val="00D80B62"/>
    <w:rsid w:val="00D82729"/>
    <w:rsid w:val="00D82C81"/>
    <w:rsid w:val="00D92EEC"/>
    <w:rsid w:val="00D97942"/>
    <w:rsid w:val="00DA056B"/>
    <w:rsid w:val="00DC6625"/>
    <w:rsid w:val="00DD1447"/>
    <w:rsid w:val="00DD1772"/>
    <w:rsid w:val="00DD7F81"/>
    <w:rsid w:val="00DE0010"/>
    <w:rsid w:val="00DE0F84"/>
    <w:rsid w:val="00DE2B8B"/>
    <w:rsid w:val="00DE3EE4"/>
    <w:rsid w:val="00DE76AD"/>
    <w:rsid w:val="00DF2846"/>
    <w:rsid w:val="00E071A2"/>
    <w:rsid w:val="00E101FC"/>
    <w:rsid w:val="00E122D8"/>
    <w:rsid w:val="00E27508"/>
    <w:rsid w:val="00E54A1F"/>
    <w:rsid w:val="00E54F4A"/>
    <w:rsid w:val="00E62DD5"/>
    <w:rsid w:val="00E637B9"/>
    <w:rsid w:val="00E65B08"/>
    <w:rsid w:val="00E71207"/>
    <w:rsid w:val="00E72C6F"/>
    <w:rsid w:val="00E75A90"/>
    <w:rsid w:val="00E773E5"/>
    <w:rsid w:val="00E827A2"/>
    <w:rsid w:val="00E8577F"/>
    <w:rsid w:val="00E87C1E"/>
    <w:rsid w:val="00EB57D5"/>
    <w:rsid w:val="00EB6762"/>
    <w:rsid w:val="00EC1E75"/>
    <w:rsid w:val="00EC7EF6"/>
    <w:rsid w:val="00ED1135"/>
    <w:rsid w:val="00ED28F5"/>
    <w:rsid w:val="00F0044D"/>
    <w:rsid w:val="00F02D73"/>
    <w:rsid w:val="00F12577"/>
    <w:rsid w:val="00F133DE"/>
    <w:rsid w:val="00F549A4"/>
    <w:rsid w:val="00F62A0D"/>
    <w:rsid w:val="00F63C91"/>
    <w:rsid w:val="00F72F46"/>
    <w:rsid w:val="00F800D5"/>
    <w:rsid w:val="00F80A10"/>
    <w:rsid w:val="00F90C14"/>
    <w:rsid w:val="00FA04B3"/>
    <w:rsid w:val="00FA4DBA"/>
    <w:rsid w:val="00FA6E15"/>
    <w:rsid w:val="00FD0310"/>
    <w:rsid w:val="00FD32B2"/>
    <w:rsid w:val="00FD3546"/>
    <w:rsid w:val="00FD7494"/>
    <w:rsid w:val="00FE2DFB"/>
    <w:rsid w:val="00FE36E2"/>
    <w:rsid w:val="00FE4542"/>
    <w:rsid w:val="07C519D6"/>
    <w:rsid w:val="0C4FE931"/>
    <w:rsid w:val="0DEC3047"/>
    <w:rsid w:val="134C2BF4"/>
    <w:rsid w:val="13A31397"/>
    <w:rsid w:val="236031C6"/>
    <w:rsid w:val="283DCBD1"/>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749F912"/>
  <w15:chartTrackingRefBased/>
  <w15:docId w15:val="{FA15B4E1-3D4C-4FF0-B195-0AB4A2B1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CC6A2D"/>
    <w:rPr>
      <w:b/>
      <w:color w:val="auto"/>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CC6A2D"/>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table" w:styleId="TableGrid">
    <w:name w:val="Table Grid"/>
    <w:basedOn w:val="TableNormal"/>
    <w:uiPriority w:val="39"/>
    <w:rsid w:val="00DE76A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839">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6546072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7jVu38Tw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Document%20template%20-%20Healthwatch%20Surrey%20-%20April%202024.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DisplayName>
        <AccountId>760</AccountId>
        <AccountType/>
      </UserInfo>
      <UserInfo>
        <DisplayName>Samantha Botsford</DisplayName>
        <AccountId>19</AccountId>
        <AccountType/>
      </UserInfo>
    </SharedWithUsers>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A097A746-8368-442B-BCA6-638A6570D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Document template - Healthwatch Surrey - April 2024</Template>
  <TotalTime>25</TotalTime>
  <Pages>6</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Vicky Rushworth</cp:lastModifiedBy>
  <cp:revision>6</cp:revision>
  <cp:lastPrinted>2024-06-06T08:29:00Z</cp:lastPrinted>
  <dcterms:created xsi:type="dcterms:W3CDTF">2024-04-16T14:28:00Z</dcterms:created>
  <dcterms:modified xsi:type="dcterms:W3CDTF">2024-06-06T08:32:00Z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