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8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6"/>
        <w:gridCol w:w="1715"/>
        <w:gridCol w:w="17719"/>
        <w:gridCol w:w="7104"/>
      </w:tblGrid>
      <w:tr w:rsidR="00463FCE" w:rsidRPr="005D530E" w14:paraId="384E774B" w14:textId="77777777" w:rsidTr="00463FCE">
        <w:trPr>
          <w:trHeight w:val="296"/>
        </w:trPr>
        <w:tc>
          <w:tcPr>
            <w:tcW w:w="2878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8030E75" w14:textId="07BACCD2" w:rsidR="00463FCE" w:rsidRDefault="00463FCE" w:rsidP="00463FCE">
            <w:pPr>
              <w:spacing w:after="0" w:line="240" w:lineRule="auto"/>
              <w:ind w:left="360"/>
              <w:jc w:val="center"/>
              <w:textAlignment w:val="baseline"/>
              <w:rPr>
                <w:rFonts w:ascii="Poppins" w:eastAsia="Times New Roman" w:hAnsi="Poppins" w:cs="Poppins"/>
                <w:b/>
                <w:bCs/>
                <w:color w:val="FFFFFF" w:themeColor="background1"/>
                <w:sz w:val="28"/>
                <w:szCs w:val="28"/>
                <w:lang w:eastAsia="en-GB"/>
              </w:rPr>
            </w:pPr>
            <w:r w:rsidRPr="00463FCE">
              <w:rPr>
                <w:rFonts w:ascii="Poppins" w:eastAsia="Times New Roman" w:hAnsi="Poppins" w:cs="Poppins"/>
                <w:b/>
                <w:bCs/>
                <w:color w:val="000000" w:themeColor="text1"/>
                <w:sz w:val="28"/>
                <w:szCs w:val="28"/>
                <w:lang w:eastAsia="en-GB"/>
              </w:rPr>
              <w:t>Hea</w:t>
            </w:r>
            <w:r>
              <w:rPr>
                <w:rFonts w:ascii="Poppins" w:eastAsia="Times New Roman" w:hAnsi="Poppins" w:cs="Poppins"/>
                <w:b/>
                <w:bCs/>
                <w:color w:val="000000" w:themeColor="text1"/>
                <w:sz w:val="28"/>
                <w:szCs w:val="28"/>
                <w:lang w:eastAsia="en-GB"/>
              </w:rPr>
              <w:t xml:space="preserve">lthwatch Surrey </w:t>
            </w:r>
            <w:r w:rsidR="00701D58">
              <w:rPr>
                <w:rFonts w:ascii="Poppins" w:eastAsia="Times New Roman" w:hAnsi="Poppins" w:cs="Poppins"/>
                <w:b/>
                <w:bCs/>
                <w:color w:val="000000" w:themeColor="text1"/>
                <w:sz w:val="28"/>
                <w:szCs w:val="28"/>
                <w:lang w:eastAsia="en-GB"/>
              </w:rPr>
              <w:t>priorities</w:t>
            </w:r>
            <w:r>
              <w:rPr>
                <w:rFonts w:ascii="Poppins" w:eastAsia="Times New Roman" w:hAnsi="Poppins" w:cs="Poppins"/>
                <w:b/>
                <w:bCs/>
                <w:color w:val="000000" w:themeColor="text1"/>
                <w:sz w:val="28"/>
                <w:szCs w:val="28"/>
                <w:lang w:eastAsia="en-GB"/>
              </w:rPr>
              <w:t xml:space="preserve"> 2023-202</w:t>
            </w:r>
            <w:r w:rsidR="00915970">
              <w:rPr>
                <w:rFonts w:ascii="Poppins" w:eastAsia="Times New Roman" w:hAnsi="Poppins" w:cs="Poppins"/>
                <w:b/>
                <w:bCs/>
                <w:color w:val="000000" w:themeColor="text1"/>
                <w:sz w:val="28"/>
                <w:szCs w:val="28"/>
                <w:lang w:eastAsia="en-GB"/>
              </w:rPr>
              <w:t>6</w:t>
            </w:r>
          </w:p>
        </w:tc>
      </w:tr>
      <w:tr w:rsidR="007C3FBE" w:rsidRPr="005D530E" w14:paraId="1F1EBC9A" w14:textId="42BFE502" w:rsidTr="00F07B90">
        <w:trPr>
          <w:trHeight w:val="296"/>
        </w:trPr>
        <w:tc>
          <w:tcPr>
            <w:tcW w:w="2246" w:type="dxa"/>
            <w:tcBorders>
              <w:top w:val="single" w:sz="6" w:space="0" w:color="auto"/>
              <w:left w:val="single" w:sz="6" w:space="0" w:color="auto"/>
              <w:bottom w:val="single" w:sz="6" w:space="0" w:color="auto"/>
              <w:right w:val="single" w:sz="6" w:space="0" w:color="auto"/>
            </w:tcBorders>
            <w:shd w:val="clear" w:color="auto" w:fill="004C6A"/>
            <w:vAlign w:val="center"/>
            <w:hideMark/>
          </w:tcPr>
          <w:p w14:paraId="2FFF3553" w14:textId="50CDBB9C" w:rsidR="007C3FBE" w:rsidRPr="005D530E" w:rsidRDefault="007C3FBE" w:rsidP="00333D3B">
            <w:pPr>
              <w:spacing w:after="0" w:line="240" w:lineRule="auto"/>
              <w:jc w:val="center"/>
              <w:textAlignment w:val="baseline"/>
              <w:rPr>
                <w:rFonts w:ascii="Poppins" w:eastAsia="Times New Roman" w:hAnsi="Poppins" w:cs="Poppins"/>
                <w:color w:val="FFFFFF" w:themeColor="background1"/>
                <w:sz w:val="28"/>
                <w:szCs w:val="28"/>
                <w:lang w:eastAsia="en-GB"/>
              </w:rPr>
            </w:pPr>
            <w:r w:rsidRPr="005D530E">
              <w:rPr>
                <w:rFonts w:ascii="Poppins" w:eastAsia="Times New Roman" w:hAnsi="Poppins" w:cs="Poppins"/>
                <w:b/>
                <w:bCs/>
                <w:color w:val="FFFFFF" w:themeColor="background1"/>
                <w:sz w:val="28"/>
                <w:szCs w:val="28"/>
                <w:lang w:eastAsia="en-GB"/>
              </w:rPr>
              <w:t>Cross-cutting themes</w:t>
            </w:r>
          </w:p>
        </w:tc>
        <w:tc>
          <w:tcPr>
            <w:tcW w:w="1715" w:type="dxa"/>
            <w:tcBorders>
              <w:top w:val="single" w:sz="6" w:space="0" w:color="auto"/>
              <w:left w:val="single" w:sz="6" w:space="0" w:color="auto"/>
              <w:bottom w:val="single" w:sz="6" w:space="0" w:color="auto"/>
              <w:right w:val="single" w:sz="6" w:space="0" w:color="auto"/>
            </w:tcBorders>
            <w:shd w:val="clear" w:color="auto" w:fill="95C11F"/>
            <w:vAlign w:val="center"/>
            <w:hideMark/>
          </w:tcPr>
          <w:p w14:paraId="6CAD7389" w14:textId="0F2C3D9A" w:rsidR="007C3FBE" w:rsidRPr="005D530E" w:rsidRDefault="007C3FBE" w:rsidP="00333D3B">
            <w:pPr>
              <w:spacing w:after="0" w:line="240" w:lineRule="auto"/>
              <w:jc w:val="center"/>
              <w:textAlignment w:val="baseline"/>
              <w:rPr>
                <w:rFonts w:ascii="Poppins" w:eastAsia="Times New Roman" w:hAnsi="Poppins" w:cs="Poppins"/>
                <w:color w:val="FFFFFF" w:themeColor="background1"/>
                <w:sz w:val="28"/>
                <w:szCs w:val="28"/>
                <w:lang w:eastAsia="en-GB"/>
              </w:rPr>
            </w:pPr>
            <w:r>
              <w:rPr>
                <w:rFonts w:ascii="Poppins" w:eastAsia="Times New Roman" w:hAnsi="Poppins" w:cs="Poppins"/>
                <w:b/>
                <w:bCs/>
                <w:color w:val="FFFFFF" w:themeColor="background1"/>
                <w:sz w:val="28"/>
                <w:szCs w:val="28"/>
                <w:lang w:eastAsia="en-GB"/>
              </w:rPr>
              <w:t>Priority area</w:t>
            </w:r>
          </w:p>
        </w:tc>
        <w:tc>
          <w:tcPr>
            <w:tcW w:w="17719" w:type="dxa"/>
            <w:tcBorders>
              <w:top w:val="single" w:sz="6" w:space="0" w:color="auto"/>
              <w:left w:val="single" w:sz="6" w:space="0" w:color="auto"/>
              <w:bottom w:val="single" w:sz="6" w:space="0" w:color="auto"/>
              <w:right w:val="single" w:sz="6" w:space="0" w:color="auto"/>
            </w:tcBorders>
            <w:shd w:val="clear" w:color="auto" w:fill="E4348B"/>
            <w:vAlign w:val="center"/>
            <w:hideMark/>
          </w:tcPr>
          <w:p w14:paraId="55364C6C" w14:textId="2B06BC5C" w:rsidR="007C3FBE" w:rsidRPr="005D530E" w:rsidRDefault="00547465" w:rsidP="00333D3B">
            <w:pPr>
              <w:spacing w:after="0" w:line="240" w:lineRule="auto"/>
              <w:jc w:val="center"/>
              <w:textAlignment w:val="baseline"/>
              <w:rPr>
                <w:rFonts w:ascii="Poppins" w:eastAsia="Times New Roman" w:hAnsi="Poppins" w:cs="Poppins"/>
                <w:color w:val="FFFFFF" w:themeColor="background1"/>
                <w:sz w:val="28"/>
                <w:szCs w:val="28"/>
                <w:lang w:eastAsia="en-GB"/>
              </w:rPr>
            </w:pPr>
            <w:r>
              <w:rPr>
                <w:rFonts w:ascii="Poppins" w:eastAsia="Times New Roman" w:hAnsi="Poppins" w:cs="Poppins"/>
                <w:b/>
                <w:bCs/>
                <w:color w:val="FFFFFF" w:themeColor="background1"/>
                <w:sz w:val="28"/>
                <w:szCs w:val="28"/>
                <w:lang w:eastAsia="en-GB"/>
              </w:rPr>
              <w:t>Rationale</w:t>
            </w:r>
          </w:p>
        </w:tc>
        <w:tc>
          <w:tcPr>
            <w:tcW w:w="7104" w:type="dxa"/>
            <w:tcBorders>
              <w:top w:val="single" w:sz="6" w:space="0" w:color="auto"/>
              <w:left w:val="single" w:sz="6" w:space="0" w:color="auto"/>
              <w:bottom w:val="single" w:sz="4" w:space="0" w:color="auto"/>
              <w:right w:val="single" w:sz="6" w:space="0" w:color="auto"/>
            </w:tcBorders>
            <w:shd w:val="clear" w:color="auto" w:fill="E4348B"/>
          </w:tcPr>
          <w:p w14:paraId="56C1644D" w14:textId="6C7E5546" w:rsidR="007C3FBE" w:rsidRPr="007C3FBE" w:rsidRDefault="008E3202" w:rsidP="007C3FBE">
            <w:pPr>
              <w:spacing w:after="0" w:line="240" w:lineRule="auto"/>
              <w:ind w:left="360"/>
              <w:jc w:val="center"/>
              <w:textAlignment w:val="baseline"/>
              <w:rPr>
                <w:rFonts w:ascii="Poppins" w:eastAsia="Times New Roman" w:hAnsi="Poppins" w:cs="Poppins"/>
                <w:b/>
                <w:bCs/>
                <w:color w:val="FFFFFF" w:themeColor="background1"/>
                <w:sz w:val="28"/>
                <w:szCs w:val="28"/>
                <w:lang w:eastAsia="en-GB"/>
              </w:rPr>
            </w:pPr>
            <w:r>
              <w:rPr>
                <w:rFonts w:ascii="Poppins" w:eastAsia="Times New Roman" w:hAnsi="Poppins" w:cs="Poppins"/>
                <w:b/>
                <w:bCs/>
                <w:color w:val="FFFFFF" w:themeColor="background1"/>
                <w:sz w:val="28"/>
                <w:szCs w:val="28"/>
                <w:lang w:eastAsia="en-GB"/>
              </w:rPr>
              <w:t>Planned outcomes/measures of success</w:t>
            </w:r>
          </w:p>
        </w:tc>
      </w:tr>
      <w:tr w:rsidR="00C43E95" w:rsidRPr="005D530E" w14:paraId="71EEC1F1" w14:textId="3D8D7BE7" w:rsidTr="00F07B90">
        <w:trPr>
          <w:cantSplit/>
          <w:trHeight w:val="2676"/>
        </w:trPr>
        <w:tc>
          <w:tcPr>
            <w:tcW w:w="2246" w:type="dxa"/>
            <w:vMerge w:val="restart"/>
            <w:tcBorders>
              <w:top w:val="single" w:sz="6" w:space="0" w:color="auto"/>
              <w:left w:val="single" w:sz="6" w:space="0" w:color="auto"/>
              <w:right w:val="single" w:sz="6" w:space="0" w:color="auto"/>
            </w:tcBorders>
            <w:shd w:val="clear" w:color="auto" w:fill="004C6A"/>
            <w:textDirection w:val="btLr"/>
            <w:hideMark/>
          </w:tcPr>
          <w:p w14:paraId="793632F6" w14:textId="78063F1A" w:rsidR="00C43E95" w:rsidRPr="005D530E" w:rsidRDefault="00C43E95" w:rsidP="00D67592">
            <w:pPr>
              <w:spacing w:after="0" w:line="240" w:lineRule="auto"/>
              <w:ind w:left="113" w:right="113"/>
              <w:jc w:val="center"/>
              <w:textAlignment w:val="baseline"/>
              <w:rPr>
                <w:rFonts w:ascii="Poppins" w:eastAsia="Times New Roman" w:hAnsi="Poppins" w:cs="Poppins"/>
                <w:sz w:val="18"/>
                <w:szCs w:val="18"/>
                <w:lang w:eastAsia="en-GB"/>
              </w:rPr>
            </w:pPr>
          </w:p>
          <w:p w14:paraId="6C23330B" w14:textId="48FD0588" w:rsidR="00C43E95" w:rsidRPr="005D530E" w:rsidRDefault="00C43E95" w:rsidP="003661C0">
            <w:pPr>
              <w:spacing w:after="0" w:line="240" w:lineRule="auto"/>
              <w:ind w:left="113" w:right="113"/>
              <w:jc w:val="center"/>
              <w:rPr>
                <w:rFonts w:ascii="Poppins" w:eastAsia="Times New Roman" w:hAnsi="Poppins" w:cs="Poppins"/>
                <w:b/>
                <w:bCs/>
                <w:sz w:val="28"/>
                <w:szCs w:val="28"/>
                <w:lang w:eastAsia="en-GB"/>
              </w:rPr>
            </w:pPr>
            <w:r w:rsidRPr="005D530E">
              <w:rPr>
                <w:rFonts w:ascii="Poppins" w:eastAsia="Times New Roman" w:hAnsi="Poppins" w:cs="Poppins"/>
                <w:b/>
                <w:bCs/>
                <w:sz w:val="28"/>
                <w:szCs w:val="28"/>
                <w:lang w:eastAsia="en-GB"/>
              </w:rPr>
              <w:t>Inequalities</w:t>
            </w:r>
          </w:p>
          <w:p w14:paraId="2054AA4B" w14:textId="4ACB8FFB" w:rsidR="00C43E95" w:rsidRPr="005D530E" w:rsidRDefault="00C43E95" w:rsidP="00D67592">
            <w:pPr>
              <w:spacing w:after="0" w:line="240" w:lineRule="auto"/>
              <w:ind w:left="113" w:right="113"/>
              <w:jc w:val="center"/>
              <w:rPr>
                <w:rFonts w:ascii="Poppins" w:eastAsia="Times New Roman" w:hAnsi="Poppins" w:cs="Poppins"/>
                <w:b/>
                <w:bCs/>
                <w:sz w:val="28"/>
                <w:szCs w:val="28"/>
                <w:lang w:eastAsia="en-GB"/>
              </w:rPr>
            </w:pPr>
            <w:r w:rsidRPr="005D530E">
              <w:rPr>
                <w:rFonts w:ascii="Poppins" w:eastAsia="Times New Roman" w:hAnsi="Poppins" w:cs="Poppins"/>
                <w:b/>
                <w:bCs/>
                <w:sz w:val="28"/>
                <w:szCs w:val="28"/>
                <w:lang w:eastAsia="en-GB"/>
              </w:rPr>
              <w:t>Less-well-heard</w:t>
            </w:r>
          </w:p>
          <w:p w14:paraId="2AAE922E" w14:textId="392A36E4" w:rsidR="00C43E95" w:rsidRDefault="00C43E95" w:rsidP="00D67592">
            <w:pPr>
              <w:spacing w:after="0" w:line="240" w:lineRule="auto"/>
              <w:ind w:left="113" w:right="113"/>
              <w:jc w:val="center"/>
              <w:rPr>
                <w:rFonts w:ascii="Poppins" w:eastAsia="Times New Roman" w:hAnsi="Poppins" w:cs="Poppins"/>
                <w:b/>
                <w:bCs/>
                <w:sz w:val="28"/>
                <w:szCs w:val="28"/>
                <w:lang w:eastAsia="en-GB"/>
              </w:rPr>
            </w:pPr>
            <w:r w:rsidRPr="005D530E">
              <w:rPr>
                <w:rFonts w:ascii="Poppins" w:eastAsia="Times New Roman" w:hAnsi="Poppins" w:cs="Poppins"/>
                <w:b/>
                <w:bCs/>
                <w:sz w:val="28"/>
                <w:szCs w:val="28"/>
                <w:lang w:eastAsia="en-GB"/>
              </w:rPr>
              <w:t>Better involvement and engagement – HWB 4Cs</w:t>
            </w:r>
          </w:p>
          <w:p w14:paraId="1D8CBCCE" w14:textId="073433B4" w:rsidR="00C43E95" w:rsidRPr="005D530E" w:rsidRDefault="00443581" w:rsidP="00D67592">
            <w:pPr>
              <w:spacing w:after="0" w:line="240" w:lineRule="auto"/>
              <w:ind w:left="113" w:right="113"/>
              <w:jc w:val="center"/>
              <w:rPr>
                <w:rFonts w:ascii="Poppins" w:eastAsia="Times New Roman" w:hAnsi="Poppins" w:cs="Poppins"/>
                <w:b/>
                <w:bCs/>
                <w:sz w:val="28"/>
                <w:szCs w:val="28"/>
                <w:lang w:eastAsia="en-GB"/>
              </w:rPr>
            </w:pPr>
            <w:r>
              <w:rPr>
                <w:rFonts w:ascii="Poppins" w:eastAsia="Times New Roman" w:hAnsi="Poppins" w:cs="Poppins"/>
                <w:b/>
                <w:bCs/>
                <w:sz w:val="28"/>
                <w:szCs w:val="28"/>
                <w:lang w:eastAsia="en-GB"/>
              </w:rPr>
              <w:t xml:space="preserve">Integration of health and </w:t>
            </w:r>
            <w:r w:rsidR="003661C0">
              <w:rPr>
                <w:rFonts w:ascii="Poppins" w:eastAsia="Times New Roman" w:hAnsi="Poppins" w:cs="Poppins"/>
                <w:b/>
                <w:bCs/>
                <w:sz w:val="28"/>
                <w:szCs w:val="28"/>
                <w:lang w:eastAsia="en-GB"/>
              </w:rPr>
              <w:t>social care</w:t>
            </w:r>
            <w:r w:rsidR="00D4495B">
              <w:rPr>
                <w:rFonts w:ascii="Poppins" w:eastAsia="Times New Roman" w:hAnsi="Poppins" w:cs="Poppins"/>
                <w:b/>
                <w:bCs/>
                <w:sz w:val="28"/>
                <w:szCs w:val="28"/>
                <w:lang w:eastAsia="en-GB"/>
              </w:rPr>
              <w:t xml:space="preserve"> services</w:t>
            </w:r>
          </w:p>
          <w:p w14:paraId="5EC2B3DC" w14:textId="49BC5B57" w:rsidR="00C43E95" w:rsidRPr="005D530E" w:rsidRDefault="00C43E95" w:rsidP="003661C0">
            <w:pPr>
              <w:spacing w:after="0" w:line="240" w:lineRule="auto"/>
              <w:ind w:left="113" w:right="113"/>
              <w:rPr>
                <w:rFonts w:ascii="Poppins" w:eastAsia="Times New Roman" w:hAnsi="Poppins" w:cs="Poppins"/>
                <w:sz w:val="18"/>
                <w:szCs w:val="18"/>
                <w:lang w:eastAsia="en-GB"/>
              </w:rPr>
            </w:pPr>
          </w:p>
        </w:tc>
        <w:tc>
          <w:tcPr>
            <w:tcW w:w="1715" w:type="dxa"/>
            <w:tcBorders>
              <w:top w:val="single" w:sz="6" w:space="0" w:color="auto"/>
              <w:left w:val="single" w:sz="6" w:space="0" w:color="auto"/>
              <w:bottom w:val="single" w:sz="4" w:space="0" w:color="auto"/>
              <w:right w:val="single" w:sz="6" w:space="0" w:color="auto"/>
            </w:tcBorders>
            <w:shd w:val="clear" w:color="auto" w:fill="95C11F"/>
            <w:vAlign w:val="center"/>
            <w:hideMark/>
          </w:tcPr>
          <w:p w14:paraId="2F4E1176" w14:textId="77777777" w:rsidR="00C43E95" w:rsidRPr="005D530E" w:rsidRDefault="00C43E95" w:rsidP="42B5B7FB">
            <w:pPr>
              <w:spacing w:after="0" w:line="240" w:lineRule="auto"/>
              <w:jc w:val="center"/>
              <w:textAlignment w:val="baseline"/>
              <w:rPr>
                <w:rFonts w:ascii="Poppins" w:eastAsia="Times New Roman" w:hAnsi="Poppins" w:cs="Poppins"/>
                <w:b/>
                <w:bCs/>
                <w:color w:val="FFFFFF" w:themeColor="background1"/>
                <w:sz w:val="18"/>
                <w:szCs w:val="18"/>
                <w:lang w:eastAsia="en-GB"/>
              </w:rPr>
            </w:pPr>
            <w:r w:rsidRPr="005D530E">
              <w:rPr>
                <w:rFonts w:ascii="Poppins" w:eastAsia="Times New Roman" w:hAnsi="Poppins" w:cs="Poppins"/>
                <w:b/>
                <w:bCs/>
                <w:color w:val="FFFFFF" w:themeColor="background1"/>
                <w:sz w:val="24"/>
                <w:szCs w:val="24"/>
                <w:lang w:eastAsia="en-GB"/>
              </w:rPr>
              <w:t>Agenda-free listening and feeding back insight </w:t>
            </w:r>
          </w:p>
        </w:tc>
        <w:tc>
          <w:tcPr>
            <w:tcW w:w="17719" w:type="dxa"/>
            <w:tcBorders>
              <w:top w:val="single" w:sz="6" w:space="0" w:color="auto"/>
              <w:left w:val="single" w:sz="6" w:space="0" w:color="auto"/>
              <w:bottom w:val="single" w:sz="4" w:space="0" w:color="auto"/>
              <w:right w:val="single" w:sz="4" w:space="0" w:color="auto"/>
            </w:tcBorders>
            <w:shd w:val="clear" w:color="auto" w:fill="FFFFFF" w:themeFill="background1"/>
            <w:hideMark/>
          </w:tcPr>
          <w:p w14:paraId="735EDEA6" w14:textId="71C4497D" w:rsidR="00C43E95" w:rsidRDefault="00C43E95" w:rsidP="00BB08BB">
            <w:pPr>
              <w:spacing w:after="0" w:line="240" w:lineRule="auto"/>
              <w:textAlignment w:val="baseline"/>
              <w:rPr>
                <w:rFonts w:ascii="Poppins" w:eastAsia="Times New Roman" w:hAnsi="Poppins" w:cs="Poppins"/>
                <w:color w:val="004C6A"/>
                <w:sz w:val="24"/>
                <w:szCs w:val="24"/>
                <w:lang w:eastAsia="en-GB"/>
              </w:rPr>
            </w:pPr>
            <w:r w:rsidRPr="00BB08BB">
              <w:rPr>
                <w:rFonts w:ascii="Poppins" w:eastAsia="Times New Roman" w:hAnsi="Poppins" w:cs="Poppins"/>
                <w:color w:val="004C6A"/>
                <w:sz w:val="24"/>
                <w:szCs w:val="24"/>
                <w:lang w:eastAsia="en-GB"/>
              </w:rPr>
              <w:t xml:space="preserve">Healthwatch Surrey is the respected, </w:t>
            </w:r>
            <w:proofErr w:type="gramStart"/>
            <w:r w:rsidRPr="00BB08BB">
              <w:rPr>
                <w:rFonts w:ascii="Poppins" w:eastAsia="Times New Roman" w:hAnsi="Poppins" w:cs="Poppins"/>
                <w:color w:val="004C6A"/>
                <w:sz w:val="24"/>
                <w:szCs w:val="24"/>
                <w:lang w:eastAsia="en-GB"/>
              </w:rPr>
              <w:t>trusted</w:t>
            </w:r>
            <w:proofErr w:type="gramEnd"/>
            <w:r w:rsidRPr="00BB08BB">
              <w:rPr>
                <w:rFonts w:ascii="Poppins" w:eastAsia="Times New Roman" w:hAnsi="Poppins" w:cs="Poppins"/>
                <w:color w:val="004C6A"/>
                <w:sz w:val="24"/>
                <w:szCs w:val="24"/>
                <w:lang w:eastAsia="en-GB"/>
              </w:rPr>
              <w:t xml:space="preserve"> and credible champion of the consumer for health and social care in Surrey. </w:t>
            </w:r>
            <w:r>
              <w:rPr>
                <w:rFonts w:ascii="Poppins" w:eastAsia="Times New Roman" w:hAnsi="Poppins" w:cs="Poppins"/>
                <w:color w:val="004C6A"/>
                <w:sz w:val="24"/>
                <w:szCs w:val="24"/>
                <w:lang w:eastAsia="en-GB"/>
              </w:rPr>
              <w:t xml:space="preserve">Which is why </w:t>
            </w:r>
            <w:r w:rsidRPr="00BB08BB">
              <w:rPr>
                <w:rFonts w:ascii="Poppins" w:eastAsia="Times New Roman" w:hAnsi="Poppins" w:cs="Poppins"/>
                <w:color w:val="004C6A"/>
                <w:sz w:val="24"/>
                <w:szCs w:val="24"/>
                <w:lang w:eastAsia="en-GB"/>
              </w:rPr>
              <w:t>our Community Engagement strategy for LHW with a rolling rotation around Places</w:t>
            </w:r>
            <w:r>
              <w:rPr>
                <w:rFonts w:ascii="Poppins" w:eastAsia="Times New Roman" w:hAnsi="Poppins" w:cs="Poppins"/>
                <w:color w:val="004C6A"/>
                <w:sz w:val="24"/>
                <w:szCs w:val="24"/>
                <w:lang w:eastAsia="en-GB"/>
              </w:rPr>
              <w:t xml:space="preserve"> and</w:t>
            </w:r>
            <w:r w:rsidRPr="00BB08BB">
              <w:rPr>
                <w:rFonts w:ascii="Poppins" w:eastAsia="Times New Roman" w:hAnsi="Poppins" w:cs="Poppins"/>
                <w:color w:val="004C6A"/>
                <w:sz w:val="24"/>
                <w:szCs w:val="24"/>
                <w:lang w:eastAsia="en-GB"/>
              </w:rPr>
              <w:t xml:space="preserve"> a particular focus on people who may be at risk of health inequalities/poor outcomes/less well heard</w:t>
            </w:r>
            <w:r>
              <w:rPr>
                <w:rFonts w:ascii="Poppins" w:eastAsia="Times New Roman" w:hAnsi="Poppins" w:cs="Poppins"/>
                <w:color w:val="004C6A"/>
                <w:sz w:val="24"/>
                <w:szCs w:val="24"/>
                <w:lang w:eastAsia="en-GB"/>
              </w:rPr>
              <w:t xml:space="preserve"> is at the heart of everything we do.</w:t>
            </w:r>
          </w:p>
          <w:p w14:paraId="0BF875CE" w14:textId="77777777" w:rsidR="00C43E95" w:rsidRDefault="00C43E95" w:rsidP="00BB08BB">
            <w:pPr>
              <w:spacing w:after="0" w:line="240" w:lineRule="auto"/>
              <w:textAlignment w:val="baseline"/>
              <w:rPr>
                <w:rFonts w:ascii="Poppins" w:eastAsia="Times New Roman" w:hAnsi="Poppins" w:cs="Poppins"/>
                <w:color w:val="004C6A"/>
                <w:sz w:val="24"/>
                <w:szCs w:val="24"/>
                <w:lang w:eastAsia="en-GB"/>
              </w:rPr>
            </w:pPr>
          </w:p>
          <w:p w14:paraId="6100ACB7" w14:textId="16F457DF" w:rsidR="00C43E95" w:rsidRPr="005D530E" w:rsidRDefault="00C43E95" w:rsidP="4CB41D68">
            <w:pPr>
              <w:spacing w:after="0" w:line="240" w:lineRule="auto"/>
              <w:textAlignment w:val="baseline"/>
              <w:rPr>
                <w:rFonts w:ascii="Poppins" w:eastAsia="Times New Roman" w:hAnsi="Poppins" w:cs="Poppins"/>
                <w:color w:val="004C6A"/>
                <w:sz w:val="24"/>
                <w:szCs w:val="24"/>
                <w:highlight w:val="yellow"/>
                <w:lang w:eastAsia="en-GB"/>
              </w:rPr>
            </w:pPr>
            <w:r w:rsidRPr="4CB41D68">
              <w:rPr>
                <w:rFonts w:ascii="Poppins" w:eastAsia="Times New Roman" w:hAnsi="Poppins" w:cs="Poppins"/>
                <w:color w:val="004C6A"/>
                <w:sz w:val="24"/>
                <w:szCs w:val="24"/>
                <w:lang w:eastAsia="en-GB"/>
              </w:rPr>
              <w:t>As well as being respected and trusted by Surrey residents, we are also influential in sharing what people have told us both Surrey-wide and at place, in Surrey Heartlands and the Frimley system. Our influencing is based on sound knowledge of local issues and the insight and experiences of local people</w:t>
            </w:r>
            <w:r w:rsidR="7C23F080" w:rsidRPr="4CB41D68">
              <w:rPr>
                <w:rFonts w:ascii="Poppins" w:eastAsia="Times New Roman" w:hAnsi="Poppins" w:cs="Poppins"/>
                <w:color w:val="004C6A"/>
                <w:sz w:val="24"/>
                <w:szCs w:val="24"/>
                <w:lang w:eastAsia="en-GB"/>
              </w:rPr>
              <w:t xml:space="preserve">, </w:t>
            </w:r>
            <w:r w:rsidR="7C23F080" w:rsidRPr="00F01B30">
              <w:rPr>
                <w:rFonts w:ascii="Poppins" w:eastAsia="Times New Roman" w:hAnsi="Poppins" w:cs="Poppins"/>
                <w:color w:val="004C6A"/>
                <w:sz w:val="24"/>
                <w:szCs w:val="24"/>
                <w:lang w:eastAsia="en-GB"/>
              </w:rPr>
              <w:t>combined with excellent relationships with our NHS and SCC partners</w:t>
            </w:r>
            <w:r w:rsidR="29064625" w:rsidRPr="00F01B30">
              <w:rPr>
                <w:rFonts w:ascii="Poppins" w:eastAsia="Times New Roman" w:hAnsi="Poppins" w:cs="Poppins"/>
                <w:color w:val="004C6A"/>
                <w:sz w:val="24"/>
                <w:szCs w:val="24"/>
                <w:lang w:eastAsia="en-GB"/>
              </w:rPr>
              <w:t xml:space="preserve"> and a good understanding of where in the system we need be to have influence.</w:t>
            </w:r>
          </w:p>
        </w:tc>
        <w:tc>
          <w:tcPr>
            <w:tcW w:w="7104" w:type="dxa"/>
            <w:tcBorders>
              <w:top w:val="single" w:sz="4" w:space="0" w:color="auto"/>
              <w:left w:val="single" w:sz="4" w:space="0" w:color="auto"/>
              <w:bottom w:val="single" w:sz="4" w:space="0" w:color="auto"/>
              <w:right w:val="single" w:sz="4" w:space="0" w:color="auto"/>
            </w:tcBorders>
            <w:shd w:val="clear" w:color="auto" w:fill="FFFFFF" w:themeFill="background1"/>
          </w:tcPr>
          <w:p w14:paraId="77D727CE" w14:textId="3BF1F578" w:rsidR="00C43E95" w:rsidRPr="007C3FBE" w:rsidRDefault="002940FA" w:rsidP="00341AB3">
            <w:pPr>
              <w:spacing w:after="0" w:line="240" w:lineRule="auto"/>
              <w:ind w:left="286"/>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We will report on the impact</w:t>
            </w:r>
            <w:r w:rsidR="00FC0586">
              <w:rPr>
                <w:rFonts w:ascii="Poppins" w:eastAsia="Times New Roman" w:hAnsi="Poppins" w:cs="Poppins"/>
                <w:color w:val="004C6A"/>
                <w:sz w:val="24"/>
                <w:szCs w:val="24"/>
                <w:lang w:eastAsia="en-GB"/>
              </w:rPr>
              <w:t xml:space="preserve"> that our Community Engagement strategy has</w:t>
            </w:r>
            <w:r w:rsidR="00DF2447">
              <w:rPr>
                <w:rFonts w:ascii="Poppins" w:eastAsia="Times New Roman" w:hAnsi="Poppins" w:cs="Poppins"/>
                <w:color w:val="004C6A"/>
                <w:sz w:val="24"/>
                <w:szCs w:val="24"/>
                <w:lang w:eastAsia="en-GB"/>
              </w:rPr>
              <w:t xml:space="preserve"> had</w:t>
            </w:r>
            <w:r w:rsidR="00FC0586">
              <w:rPr>
                <w:rFonts w:ascii="Poppins" w:eastAsia="Times New Roman" w:hAnsi="Poppins" w:cs="Poppins"/>
                <w:color w:val="004C6A"/>
                <w:sz w:val="24"/>
                <w:szCs w:val="24"/>
                <w:lang w:eastAsia="en-GB"/>
              </w:rPr>
              <w:t xml:space="preserve"> and how we have been able to use our findings from this </w:t>
            </w:r>
            <w:r w:rsidR="00DF2447">
              <w:rPr>
                <w:rFonts w:ascii="Poppins" w:eastAsia="Times New Roman" w:hAnsi="Poppins" w:cs="Poppins"/>
                <w:color w:val="004C6A"/>
                <w:sz w:val="24"/>
                <w:szCs w:val="24"/>
                <w:lang w:eastAsia="en-GB"/>
              </w:rPr>
              <w:t>to influence</w:t>
            </w:r>
            <w:r w:rsidR="00A93C02">
              <w:rPr>
                <w:rFonts w:ascii="Poppins" w:eastAsia="Times New Roman" w:hAnsi="Poppins" w:cs="Poppins"/>
                <w:color w:val="004C6A"/>
                <w:sz w:val="24"/>
                <w:szCs w:val="24"/>
                <w:lang w:eastAsia="en-GB"/>
              </w:rPr>
              <w:t xml:space="preserve"> improvements in our </w:t>
            </w:r>
            <w:r w:rsidR="005A2F66">
              <w:rPr>
                <w:rFonts w:ascii="Poppins" w:eastAsia="Times New Roman" w:hAnsi="Poppins" w:cs="Poppins"/>
                <w:color w:val="004C6A"/>
                <w:sz w:val="24"/>
                <w:szCs w:val="24"/>
                <w:lang w:eastAsia="en-GB"/>
              </w:rPr>
              <w:t>quarterly impact reports.</w:t>
            </w:r>
          </w:p>
        </w:tc>
      </w:tr>
      <w:tr w:rsidR="00C43E95" w:rsidRPr="005D530E" w14:paraId="483BF693" w14:textId="77777777" w:rsidTr="00F07B90">
        <w:trPr>
          <w:trHeight w:val="296"/>
        </w:trPr>
        <w:tc>
          <w:tcPr>
            <w:tcW w:w="2246" w:type="dxa"/>
            <w:vMerge/>
          </w:tcPr>
          <w:p w14:paraId="4BB534E9" w14:textId="77777777" w:rsidR="00C43E95" w:rsidRPr="005D530E" w:rsidRDefault="00C43E95" w:rsidP="00F405F4">
            <w:pPr>
              <w:spacing w:after="0" w:line="240" w:lineRule="auto"/>
              <w:rPr>
                <w:rFonts w:ascii="Poppins" w:eastAsia="Times New Roman" w:hAnsi="Poppins" w:cs="Poppins"/>
                <w:sz w:val="18"/>
                <w:szCs w:val="18"/>
                <w:lang w:eastAsia="en-GB"/>
              </w:rPr>
            </w:pPr>
          </w:p>
        </w:tc>
        <w:tc>
          <w:tcPr>
            <w:tcW w:w="1715" w:type="dxa"/>
            <w:tcBorders>
              <w:top w:val="single" w:sz="4" w:space="0" w:color="auto"/>
              <w:left w:val="single" w:sz="6" w:space="0" w:color="auto"/>
              <w:bottom w:val="single" w:sz="4" w:space="0" w:color="auto"/>
              <w:right w:val="single" w:sz="4" w:space="0" w:color="auto"/>
            </w:tcBorders>
            <w:shd w:val="clear" w:color="auto" w:fill="95C11F"/>
            <w:vAlign w:val="center"/>
          </w:tcPr>
          <w:p w14:paraId="01BBB1EE" w14:textId="3131FE11" w:rsidR="00C43E95" w:rsidRPr="005D530E" w:rsidRDefault="00C43E95" w:rsidP="42B5B7FB">
            <w:pPr>
              <w:spacing w:after="0" w:line="240" w:lineRule="auto"/>
              <w:jc w:val="center"/>
              <w:textAlignment w:val="baseline"/>
              <w:rPr>
                <w:rFonts w:ascii="Poppins" w:eastAsia="Times New Roman" w:hAnsi="Poppins" w:cs="Poppins"/>
                <w:b/>
                <w:bCs/>
                <w:color w:val="FFFFFF" w:themeColor="background1"/>
                <w:sz w:val="24"/>
                <w:szCs w:val="24"/>
                <w:lang w:eastAsia="en-GB"/>
              </w:rPr>
            </w:pPr>
            <w:r w:rsidRPr="005D530E">
              <w:rPr>
                <w:rFonts w:ascii="Poppins" w:eastAsia="Times New Roman" w:hAnsi="Poppins" w:cs="Poppins"/>
                <w:b/>
                <w:bCs/>
                <w:color w:val="FFFFFF" w:themeColor="background1"/>
                <w:sz w:val="24"/>
                <w:szCs w:val="24"/>
                <w:lang w:eastAsia="en-GB"/>
              </w:rPr>
              <w:t>Info</w:t>
            </w:r>
            <w:r>
              <w:rPr>
                <w:rFonts w:ascii="Poppins" w:eastAsia="Times New Roman" w:hAnsi="Poppins" w:cs="Poppins"/>
                <w:b/>
                <w:bCs/>
                <w:color w:val="FFFFFF" w:themeColor="background1"/>
                <w:sz w:val="24"/>
                <w:szCs w:val="24"/>
                <w:lang w:eastAsia="en-GB"/>
              </w:rPr>
              <w:t>rmation</w:t>
            </w:r>
            <w:r w:rsidRPr="005D530E">
              <w:rPr>
                <w:rFonts w:ascii="Poppins" w:eastAsia="Times New Roman" w:hAnsi="Poppins" w:cs="Poppins"/>
                <w:b/>
                <w:bCs/>
                <w:color w:val="FFFFFF" w:themeColor="background1"/>
                <w:sz w:val="24"/>
                <w:szCs w:val="24"/>
                <w:lang w:eastAsia="en-GB"/>
              </w:rPr>
              <w:t xml:space="preserve"> and signposting </w:t>
            </w:r>
          </w:p>
        </w:tc>
        <w:tc>
          <w:tcPr>
            <w:tcW w:w="17719" w:type="dxa"/>
            <w:tcBorders>
              <w:top w:val="single" w:sz="4" w:space="0" w:color="auto"/>
              <w:left w:val="single" w:sz="4" w:space="0" w:color="auto"/>
              <w:bottom w:val="single" w:sz="4" w:space="0" w:color="auto"/>
              <w:right w:val="single" w:sz="4" w:space="0" w:color="auto"/>
            </w:tcBorders>
            <w:shd w:val="clear" w:color="auto" w:fill="FFFFFF" w:themeFill="background1"/>
          </w:tcPr>
          <w:p w14:paraId="479AA514" w14:textId="0E6F48E9" w:rsidR="004F402F" w:rsidRPr="00740958" w:rsidRDefault="008F1E6C" w:rsidP="004F402F">
            <w:pPr>
              <w:spacing w:after="0" w:line="240" w:lineRule="auto"/>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Through the implementation of our Comm</w:t>
            </w:r>
            <w:r w:rsidR="00135AFA">
              <w:rPr>
                <w:rFonts w:ascii="Poppins" w:eastAsia="Times New Roman" w:hAnsi="Poppins" w:cs="Poppins"/>
                <w:color w:val="004C6A"/>
                <w:sz w:val="24"/>
                <w:szCs w:val="24"/>
                <w:lang w:eastAsia="en-GB"/>
              </w:rPr>
              <w:t>unication</w:t>
            </w:r>
            <w:r>
              <w:rPr>
                <w:rFonts w:ascii="Poppins" w:eastAsia="Times New Roman" w:hAnsi="Poppins" w:cs="Poppins"/>
                <w:color w:val="004C6A"/>
                <w:sz w:val="24"/>
                <w:szCs w:val="24"/>
                <w:lang w:eastAsia="en-GB"/>
              </w:rPr>
              <w:t>s Strategy, we will actively encourage more people to share feedback</w:t>
            </w:r>
            <w:r w:rsidR="00B930FC">
              <w:rPr>
                <w:rFonts w:ascii="Poppins" w:eastAsia="Times New Roman" w:hAnsi="Poppins" w:cs="Poppins"/>
                <w:color w:val="004C6A"/>
                <w:sz w:val="24"/>
                <w:szCs w:val="24"/>
                <w:lang w:eastAsia="en-GB"/>
              </w:rPr>
              <w:t xml:space="preserve"> whilst e</w:t>
            </w:r>
            <w:r w:rsidR="00C43E95">
              <w:rPr>
                <w:rFonts w:ascii="Poppins" w:eastAsia="Times New Roman" w:hAnsi="Poppins" w:cs="Poppins"/>
                <w:color w:val="004C6A"/>
                <w:sz w:val="24"/>
                <w:szCs w:val="24"/>
                <w:lang w:eastAsia="en-GB"/>
              </w:rPr>
              <w:t>mpowering Surrey residents with the best information, advice and signposting is a fundamental service offered by Healthwatch Surrey. We see this as a key enabler for residents to access and navigate the best care and support available to them.</w:t>
            </w:r>
            <w:r w:rsidR="004F402F">
              <w:rPr>
                <w:rFonts w:ascii="Poppins" w:eastAsia="Times New Roman" w:hAnsi="Poppins" w:cs="Poppins"/>
                <w:color w:val="004C6A"/>
                <w:sz w:val="24"/>
                <w:szCs w:val="24"/>
                <w:lang w:eastAsia="en-GB"/>
              </w:rPr>
              <w:t xml:space="preserve"> We also recognise the importance of system partners promoting Healthwatch Surrey and our services </w:t>
            </w:r>
            <w:proofErr w:type="gramStart"/>
            <w:r w:rsidR="004F402F">
              <w:rPr>
                <w:rFonts w:ascii="Poppins" w:eastAsia="Times New Roman" w:hAnsi="Poppins" w:cs="Poppins"/>
                <w:color w:val="004C6A"/>
                <w:sz w:val="24"/>
                <w:szCs w:val="24"/>
                <w:lang w:eastAsia="en-GB"/>
              </w:rPr>
              <w:t>in order to</w:t>
            </w:r>
            <w:proofErr w:type="gramEnd"/>
            <w:r w:rsidR="004F402F">
              <w:rPr>
                <w:rFonts w:ascii="Poppins" w:eastAsia="Times New Roman" w:hAnsi="Poppins" w:cs="Poppins"/>
                <w:color w:val="004C6A"/>
                <w:sz w:val="24"/>
                <w:szCs w:val="24"/>
                <w:lang w:eastAsia="en-GB"/>
              </w:rPr>
              <w:t xml:space="preserve"> support those who are less well heard and more at risk of health inequalities.</w:t>
            </w:r>
          </w:p>
          <w:p w14:paraId="4D11AC43" w14:textId="77777777" w:rsidR="00C43E95" w:rsidRDefault="00C43E95" w:rsidP="00EC5A6C">
            <w:pPr>
              <w:spacing w:after="0" w:line="240" w:lineRule="auto"/>
              <w:textAlignment w:val="baseline"/>
              <w:rPr>
                <w:rFonts w:ascii="Poppins" w:eastAsia="Times New Roman" w:hAnsi="Poppins" w:cs="Poppins"/>
                <w:color w:val="004C6A"/>
                <w:sz w:val="24"/>
                <w:szCs w:val="24"/>
                <w:lang w:eastAsia="en-GB"/>
              </w:rPr>
            </w:pPr>
          </w:p>
          <w:p w14:paraId="405B545F" w14:textId="58BC3ACD" w:rsidR="00C43E95" w:rsidRDefault="002F129A" w:rsidP="00B37B2C">
            <w:pPr>
              <w:spacing w:after="0" w:line="240" w:lineRule="auto"/>
              <w:textAlignment w:val="baseline"/>
              <w:rPr>
                <w:rFonts w:ascii="Poppins" w:eastAsia="Times New Roman" w:hAnsi="Poppins" w:cs="Poppins"/>
                <w:color w:val="004C6A"/>
                <w:sz w:val="24"/>
                <w:szCs w:val="24"/>
                <w:lang w:eastAsia="en-GB"/>
              </w:rPr>
            </w:pPr>
            <w:r w:rsidRPr="002F129A">
              <w:rPr>
                <w:rFonts w:ascii="Poppins" w:eastAsia="Times New Roman" w:hAnsi="Poppins" w:cs="Poppins"/>
                <w:color w:val="004C6A"/>
                <w:sz w:val="24"/>
                <w:szCs w:val="24"/>
                <w:lang w:eastAsia="en-GB"/>
              </w:rPr>
              <w:t>In addition to ensuring the quality of our own signposting, we will use the knowledge we gain through that service to support and challenge NHS and SCC to ensure their signposting and comm</w:t>
            </w:r>
            <w:r w:rsidR="00171F11">
              <w:rPr>
                <w:rFonts w:ascii="Poppins" w:eastAsia="Times New Roman" w:hAnsi="Poppins" w:cs="Poppins"/>
                <w:color w:val="004C6A"/>
                <w:sz w:val="24"/>
                <w:szCs w:val="24"/>
                <w:lang w:eastAsia="en-GB"/>
              </w:rPr>
              <w:t>unication</w:t>
            </w:r>
            <w:r w:rsidRPr="002F129A">
              <w:rPr>
                <w:rFonts w:ascii="Poppins" w:eastAsia="Times New Roman" w:hAnsi="Poppins" w:cs="Poppins"/>
                <w:color w:val="004C6A"/>
                <w:sz w:val="24"/>
                <w:szCs w:val="24"/>
                <w:lang w:eastAsia="en-GB"/>
              </w:rPr>
              <w:t xml:space="preserve"> is as effective as possible.</w:t>
            </w:r>
            <w:r>
              <w:rPr>
                <w:rFonts w:ascii="Poppins" w:eastAsia="Times New Roman" w:hAnsi="Poppins" w:cs="Poppins"/>
                <w:color w:val="004C6A"/>
                <w:sz w:val="24"/>
                <w:szCs w:val="24"/>
                <w:lang w:eastAsia="en-GB"/>
              </w:rPr>
              <w:t xml:space="preserve"> </w:t>
            </w:r>
            <w:r w:rsidR="00C43E95">
              <w:rPr>
                <w:rFonts w:ascii="Poppins" w:eastAsia="Times New Roman" w:hAnsi="Poppins" w:cs="Poppins"/>
                <w:color w:val="004C6A"/>
                <w:sz w:val="24"/>
                <w:szCs w:val="24"/>
                <w:lang w:eastAsia="en-GB"/>
              </w:rPr>
              <w:t>Identifying areas for improvement and how to make local information and signposting fully accessible will also help ensure a better experience of health and care for Surrey residents.</w:t>
            </w:r>
          </w:p>
          <w:p w14:paraId="1819B573" w14:textId="77777777" w:rsidR="00F01B30" w:rsidRDefault="00F01B30" w:rsidP="00B37B2C">
            <w:pPr>
              <w:spacing w:after="0" w:line="240" w:lineRule="auto"/>
              <w:textAlignment w:val="baseline"/>
              <w:rPr>
                <w:rFonts w:ascii="Poppins" w:eastAsia="Times New Roman" w:hAnsi="Poppins" w:cs="Poppins"/>
                <w:color w:val="004C6A"/>
                <w:sz w:val="24"/>
                <w:szCs w:val="24"/>
                <w:lang w:eastAsia="en-GB"/>
              </w:rPr>
            </w:pPr>
          </w:p>
          <w:p w14:paraId="18A59E6D" w14:textId="05237198" w:rsidR="00F01B30" w:rsidRPr="00B37B2C" w:rsidRDefault="00F01B30" w:rsidP="00B37B2C">
            <w:pPr>
              <w:spacing w:after="0" w:line="240" w:lineRule="auto"/>
              <w:textAlignment w:val="baseline"/>
              <w:rPr>
                <w:rFonts w:ascii="Poppins" w:eastAsia="Times New Roman" w:hAnsi="Poppins" w:cs="Poppins"/>
                <w:color w:val="004C6A"/>
                <w:sz w:val="24"/>
                <w:szCs w:val="24"/>
                <w:lang w:eastAsia="en-GB"/>
              </w:rPr>
            </w:pPr>
            <w:r w:rsidRPr="4CB41D68">
              <w:rPr>
                <w:rFonts w:ascii="Poppins" w:eastAsia="Times New Roman" w:hAnsi="Poppins" w:cs="Poppins"/>
                <w:color w:val="004C6A"/>
                <w:sz w:val="24"/>
                <w:szCs w:val="24"/>
                <w:lang w:eastAsia="en-GB"/>
              </w:rPr>
              <w:t xml:space="preserve">Communication has been the most common theme in the experiences shared with us in 2022-23, showing that it is a significant issue for Surrey residents. We will encourage, </w:t>
            </w:r>
            <w:proofErr w:type="gramStart"/>
            <w:r w:rsidRPr="4CB41D68">
              <w:rPr>
                <w:rFonts w:ascii="Poppins" w:eastAsia="Times New Roman" w:hAnsi="Poppins" w:cs="Poppins"/>
                <w:color w:val="004C6A"/>
                <w:sz w:val="24"/>
                <w:szCs w:val="24"/>
                <w:lang w:eastAsia="en-GB"/>
              </w:rPr>
              <w:t>support</w:t>
            </w:r>
            <w:proofErr w:type="gramEnd"/>
            <w:r w:rsidRPr="4CB41D68">
              <w:rPr>
                <w:rFonts w:ascii="Poppins" w:eastAsia="Times New Roman" w:hAnsi="Poppins" w:cs="Poppins"/>
                <w:color w:val="004C6A"/>
                <w:sz w:val="24"/>
                <w:szCs w:val="24"/>
                <w:lang w:eastAsia="en-GB"/>
              </w:rPr>
              <w:t xml:space="preserve"> and advise our system partners to be as effective and accessible as possible in their communications to residents, which will enable people to more successfully navigate services and identify areas where integration could be improved.  </w:t>
            </w:r>
          </w:p>
        </w:tc>
        <w:tc>
          <w:tcPr>
            <w:tcW w:w="7104" w:type="dxa"/>
            <w:tcBorders>
              <w:top w:val="single" w:sz="4" w:space="0" w:color="auto"/>
              <w:left w:val="single" w:sz="4" w:space="0" w:color="auto"/>
              <w:bottom w:val="single" w:sz="4" w:space="0" w:color="auto"/>
              <w:right w:val="single" w:sz="4" w:space="0" w:color="auto"/>
            </w:tcBorders>
            <w:shd w:val="clear" w:color="auto" w:fill="FFFFFF" w:themeFill="background1"/>
          </w:tcPr>
          <w:p w14:paraId="4E50C84A" w14:textId="77777777" w:rsidR="00C43E95" w:rsidRDefault="009478B0" w:rsidP="00341AB3">
            <w:pPr>
              <w:spacing w:after="0" w:line="240" w:lineRule="auto"/>
              <w:ind w:left="286"/>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Feedback about the information and advice services that we provide</w:t>
            </w:r>
            <w:r w:rsidR="00391A82">
              <w:rPr>
                <w:rFonts w:ascii="Poppins" w:eastAsia="Times New Roman" w:hAnsi="Poppins" w:cs="Poppins"/>
                <w:color w:val="004C6A"/>
                <w:sz w:val="24"/>
                <w:szCs w:val="24"/>
                <w:lang w:eastAsia="en-GB"/>
              </w:rPr>
              <w:t xml:space="preserve"> will be reported in our quarterly impact report.</w:t>
            </w:r>
          </w:p>
          <w:p w14:paraId="59142870" w14:textId="77777777" w:rsidR="00391A82" w:rsidRDefault="00391A82" w:rsidP="00341AB3">
            <w:pPr>
              <w:spacing w:after="0" w:line="240" w:lineRule="auto"/>
              <w:ind w:left="286"/>
              <w:textAlignment w:val="baseline"/>
              <w:rPr>
                <w:rFonts w:ascii="Poppins" w:eastAsia="Times New Roman" w:hAnsi="Poppins" w:cs="Poppins"/>
                <w:color w:val="004C6A"/>
                <w:sz w:val="24"/>
                <w:szCs w:val="24"/>
                <w:lang w:eastAsia="en-GB"/>
              </w:rPr>
            </w:pPr>
          </w:p>
          <w:p w14:paraId="4324786A" w14:textId="77777777" w:rsidR="00391A82" w:rsidRDefault="003C2448" w:rsidP="00341AB3">
            <w:pPr>
              <w:spacing w:after="0" w:line="240" w:lineRule="auto"/>
              <w:ind w:left="286"/>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 xml:space="preserve">We will also see an increase in the number of people </w:t>
            </w:r>
            <w:r w:rsidR="00C34B1C">
              <w:rPr>
                <w:rFonts w:ascii="Poppins" w:eastAsia="Times New Roman" w:hAnsi="Poppins" w:cs="Poppins"/>
                <w:color w:val="004C6A"/>
                <w:sz w:val="24"/>
                <w:szCs w:val="24"/>
                <w:lang w:eastAsia="en-GB"/>
              </w:rPr>
              <w:t xml:space="preserve">contacting Healthwatch Surrey to either share their experiences or </w:t>
            </w:r>
            <w:r w:rsidR="009D05FE">
              <w:rPr>
                <w:rFonts w:ascii="Poppins" w:eastAsia="Times New Roman" w:hAnsi="Poppins" w:cs="Poppins"/>
                <w:color w:val="004C6A"/>
                <w:sz w:val="24"/>
                <w:szCs w:val="24"/>
                <w:lang w:eastAsia="en-GB"/>
              </w:rPr>
              <w:t>to get information and advice.</w:t>
            </w:r>
          </w:p>
          <w:p w14:paraId="641452DB" w14:textId="77777777" w:rsidR="009D05FE" w:rsidRDefault="009D05FE" w:rsidP="00341AB3">
            <w:pPr>
              <w:spacing w:after="0" w:line="240" w:lineRule="auto"/>
              <w:ind w:left="286"/>
              <w:textAlignment w:val="baseline"/>
              <w:rPr>
                <w:rFonts w:ascii="Poppins" w:eastAsia="Times New Roman" w:hAnsi="Poppins" w:cs="Poppins"/>
                <w:color w:val="004C6A"/>
                <w:sz w:val="24"/>
                <w:szCs w:val="24"/>
                <w:lang w:eastAsia="en-GB"/>
              </w:rPr>
            </w:pPr>
          </w:p>
          <w:p w14:paraId="24BB8076" w14:textId="3B72B6E7" w:rsidR="009D05FE" w:rsidRPr="007C3FBE" w:rsidRDefault="009D05FE" w:rsidP="00341AB3">
            <w:pPr>
              <w:spacing w:after="0" w:line="240" w:lineRule="auto"/>
              <w:ind w:left="286"/>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 xml:space="preserve">We will also be able to evidence our involvement </w:t>
            </w:r>
            <w:r w:rsidR="008D5A32">
              <w:rPr>
                <w:rFonts w:ascii="Poppins" w:eastAsia="Times New Roman" w:hAnsi="Poppins" w:cs="Poppins"/>
                <w:color w:val="004C6A"/>
                <w:sz w:val="24"/>
                <w:szCs w:val="24"/>
                <w:lang w:eastAsia="en-GB"/>
              </w:rPr>
              <w:t>in influencing system partners to be effective and accessible</w:t>
            </w:r>
            <w:r w:rsidR="00F07B90">
              <w:rPr>
                <w:rFonts w:ascii="Poppins" w:eastAsia="Times New Roman" w:hAnsi="Poppins" w:cs="Poppins"/>
                <w:color w:val="004C6A"/>
                <w:sz w:val="24"/>
                <w:szCs w:val="24"/>
                <w:lang w:eastAsia="en-GB"/>
              </w:rPr>
              <w:t xml:space="preserve"> in their communication</w:t>
            </w:r>
          </w:p>
        </w:tc>
      </w:tr>
      <w:tr w:rsidR="00F07B90" w:rsidRPr="005D530E" w14:paraId="4EB64275" w14:textId="77777777" w:rsidTr="00682D24">
        <w:trPr>
          <w:trHeight w:val="296"/>
        </w:trPr>
        <w:tc>
          <w:tcPr>
            <w:tcW w:w="2246" w:type="dxa"/>
            <w:vMerge/>
          </w:tcPr>
          <w:p w14:paraId="1CC763B1" w14:textId="77777777" w:rsidR="00F07B90" w:rsidRPr="005D530E" w:rsidRDefault="00F07B90" w:rsidP="00F405F4">
            <w:pPr>
              <w:spacing w:after="0" w:line="240" w:lineRule="auto"/>
              <w:rPr>
                <w:rFonts w:ascii="Poppins" w:eastAsia="Times New Roman" w:hAnsi="Poppins" w:cs="Poppins"/>
                <w:sz w:val="18"/>
                <w:szCs w:val="18"/>
                <w:lang w:eastAsia="en-GB"/>
              </w:rPr>
            </w:pPr>
          </w:p>
        </w:tc>
        <w:tc>
          <w:tcPr>
            <w:tcW w:w="26538" w:type="dxa"/>
            <w:gridSpan w:val="3"/>
            <w:tcBorders>
              <w:top w:val="single" w:sz="4" w:space="0" w:color="auto"/>
              <w:left w:val="single" w:sz="6" w:space="0" w:color="auto"/>
              <w:bottom w:val="single" w:sz="4" w:space="0" w:color="auto"/>
              <w:right w:val="single" w:sz="4" w:space="0" w:color="auto"/>
            </w:tcBorders>
            <w:shd w:val="clear" w:color="auto" w:fill="E4348B"/>
            <w:vAlign w:val="center"/>
          </w:tcPr>
          <w:p w14:paraId="7D7D65C5" w14:textId="1118BDA4" w:rsidR="00F07B90" w:rsidRPr="007C3FBE" w:rsidRDefault="00F07B90" w:rsidP="00F07B90">
            <w:pPr>
              <w:spacing w:after="0" w:line="240" w:lineRule="auto"/>
              <w:ind w:left="360"/>
              <w:jc w:val="center"/>
              <w:textAlignment w:val="baseline"/>
              <w:rPr>
                <w:rFonts w:ascii="Poppins" w:eastAsia="Times New Roman" w:hAnsi="Poppins" w:cs="Poppins"/>
                <w:color w:val="004C6A"/>
                <w:sz w:val="24"/>
                <w:szCs w:val="24"/>
                <w:lang w:eastAsia="en-GB"/>
              </w:rPr>
            </w:pPr>
            <w:r w:rsidRPr="00CC6E95">
              <w:rPr>
                <w:rFonts w:ascii="Poppins" w:eastAsia="Times New Roman" w:hAnsi="Poppins" w:cs="Poppins"/>
                <w:b/>
                <w:bCs/>
                <w:color w:val="FFFFFF" w:themeColor="background1"/>
                <w:sz w:val="24"/>
                <w:szCs w:val="24"/>
                <w:lang w:eastAsia="en-GB"/>
              </w:rPr>
              <w:t>These will form the foundation to enable us to focus our efforts specifically on:</w:t>
            </w:r>
          </w:p>
        </w:tc>
      </w:tr>
      <w:tr w:rsidR="00C43E95" w:rsidRPr="005D530E" w14:paraId="7F676DDA" w14:textId="7BBAF03A" w:rsidTr="00F07B90">
        <w:trPr>
          <w:trHeight w:val="296"/>
        </w:trPr>
        <w:tc>
          <w:tcPr>
            <w:tcW w:w="2246" w:type="dxa"/>
            <w:vMerge/>
            <w:hideMark/>
          </w:tcPr>
          <w:p w14:paraId="103848F4" w14:textId="62554911" w:rsidR="00C43E95" w:rsidRPr="005D530E" w:rsidRDefault="00C43E95" w:rsidP="00F405F4">
            <w:pPr>
              <w:spacing w:after="0" w:line="240" w:lineRule="auto"/>
              <w:rPr>
                <w:rFonts w:ascii="Poppins" w:eastAsia="Times New Roman" w:hAnsi="Poppins" w:cs="Poppins"/>
                <w:sz w:val="18"/>
                <w:szCs w:val="18"/>
                <w:lang w:eastAsia="en-GB"/>
              </w:rPr>
            </w:pPr>
          </w:p>
        </w:tc>
        <w:tc>
          <w:tcPr>
            <w:tcW w:w="1715" w:type="dxa"/>
            <w:tcBorders>
              <w:top w:val="single" w:sz="4" w:space="0" w:color="auto"/>
              <w:left w:val="single" w:sz="6" w:space="0" w:color="auto"/>
              <w:bottom w:val="single" w:sz="4" w:space="0" w:color="auto"/>
              <w:right w:val="single" w:sz="4" w:space="0" w:color="auto"/>
            </w:tcBorders>
            <w:shd w:val="clear" w:color="auto" w:fill="95C11F"/>
            <w:vAlign w:val="center"/>
            <w:hideMark/>
          </w:tcPr>
          <w:p w14:paraId="24D506A3" w14:textId="59043E66" w:rsidR="00C43E95" w:rsidRPr="005D530E" w:rsidRDefault="00C43E95" w:rsidP="42B5B7FB">
            <w:pPr>
              <w:spacing w:after="0" w:line="240" w:lineRule="auto"/>
              <w:jc w:val="center"/>
              <w:textAlignment w:val="baseline"/>
              <w:rPr>
                <w:rFonts w:ascii="Poppins" w:eastAsia="Times New Roman" w:hAnsi="Poppins" w:cs="Poppins"/>
                <w:b/>
                <w:bCs/>
                <w:color w:val="FFFFFF" w:themeColor="background1"/>
                <w:sz w:val="24"/>
                <w:szCs w:val="24"/>
                <w:lang w:eastAsia="en-GB"/>
              </w:rPr>
            </w:pPr>
            <w:r w:rsidRPr="005D530E">
              <w:rPr>
                <w:rFonts w:ascii="Poppins" w:eastAsia="Times New Roman" w:hAnsi="Poppins" w:cs="Poppins"/>
                <w:b/>
                <w:bCs/>
                <w:color w:val="FFFFFF" w:themeColor="background1"/>
                <w:sz w:val="24"/>
                <w:szCs w:val="24"/>
                <w:lang w:eastAsia="en-GB"/>
              </w:rPr>
              <w:t>Access to primary care </w:t>
            </w:r>
          </w:p>
          <w:p w14:paraId="1B6C5E5A" w14:textId="77777777" w:rsidR="00C43E95" w:rsidRPr="005D530E" w:rsidRDefault="00C43E95" w:rsidP="42B5B7FB">
            <w:pPr>
              <w:spacing w:after="0" w:line="240" w:lineRule="auto"/>
              <w:jc w:val="center"/>
              <w:textAlignment w:val="baseline"/>
              <w:rPr>
                <w:rFonts w:ascii="Poppins" w:eastAsia="Times New Roman" w:hAnsi="Poppins" w:cs="Poppins"/>
                <w:b/>
                <w:bCs/>
                <w:color w:val="FFFFFF" w:themeColor="background1"/>
                <w:sz w:val="24"/>
                <w:szCs w:val="24"/>
                <w:lang w:eastAsia="en-GB"/>
              </w:rPr>
            </w:pPr>
            <w:r w:rsidRPr="005D530E">
              <w:rPr>
                <w:rFonts w:ascii="Poppins" w:eastAsia="Times New Roman" w:hAnsi="Poppins" w:cs="Poppins"/>
                <w:b/>
                <w:bCs/>
                <w:color w:val="FFFFFF" w:themeColor="background1"/>
                <w:sz w:val="24"/>
                <w:szCs w:val="24"/>
                <w:lang w:eastAsia="en-GB"/>
              </w:rPr>
              <w:t> </w:t>
            </w:r>
          </w:p>
        </w:tc>
        <w:tc>
          <w:tcPr>
            <w:tcW w:w="177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A921C" w14:textId="42E8528F" w:rsidR="00C43E95" w:rsidRPr="00CC6E95" w:rsidRDefault="00C43E95" w:rsidP="00CC6E95">
            <w:pPr>
              <w:spacing w:after="0" w:line="240" w:lineRule="auto"/>
              <w:textAlignment w:val="baseline"/>
              <w:rPr>
                <w:rFonts w:ascii="Poppins" w:eastAsia="Times New Roman" w:hAnsi="Poppins" w:cs="Poppins"/>
                <w:color w:val="004C6A"/>
                <w:sz w:val="24"/>
                <w:szCs w:val="24"/>
                <w:lang w:eastAsia="en-GB"/>
              </w:rPr>
            </w:pPr>
            <w:r w:rsidRPr="00CC6E95">
              <w:rPr>
                <w:rFonts w:ascii="Poppins" w:eastAsia="Times New Roman" w:hAnsi="Poppins" w:cs="Poppins"/>
                <w:color w:val="004C6A"/>
                <w:sz w:val="24"/>
                <w:szCs w:val="24"/>
                <w:lang w:eastAsia="en-GB"/>
              </w:rPr>
              <w:t>Access to primary care is fundamental to people’s experiences of health and care. The ways in which people access primary care and the availability of services has evolved significantly over recent years, and Surrey residents have consistently shared the impacts that this has had on them. Sharing these experiences of access is an integral part of ensuring equity of access for Surrey residents and helping to improve experiences going forward.</w:t>
            </w:r>
          </w:p>
          <w:p w14:paraId="155C93DE" w14:textId="77777777" w:rsidR="00C43E95" w:rsidRPr="00CC6E95" w:rsidRDefault="00C43E95" w:rsidP="00CC6E95">
            <w:pPr>
              <w:spacing w:after="0" w:line="240" w:lineRule="auto"/>
              <w:textAlignment w:val="baseline"/>
              <w:rPr>
                <w:rFonts w:ascii="Poppins" w:eastAsia="Times New Roman" w:hAnsi="Poppins" w:cs="Poppins"/>
                <w:color w:val="004C6A"/>
                <w:sz w:val="24"/>
                <w:szCs w:val="24"/>
                <w:lang w:eastAsia="en-GB"/>
              </w:rPr>
            </w:pPr>
          </w:p>
          <w:p w14:paraId="19AE3615" w14:textId="7BBAE368" w:rsidR="00C43E95" w:rsidRPr="00CC6E95" w:rsidRDefault="00C43E95" w:rsidP="00CC6E95">
            <w:pPr>
              <w:spacing w:after="0" w:line="240" w:lineRule="auto"/>
              <w:textAlignment w:val="baseline"/>
              <w:rPr>
                <w:rFonts w:ascii="Poppins" w:eastAsia="Times New Roman" w:hAnsi="Poppins" w:cs="Poppins"/>
                <w:color w:val="004C6A"/>
                <w:sz w:val="24"/>
                <w:szCs w:val="24"/>
                <w:lang w:eastAsia="en-GB"/>
              </w:rPr>
            </w:pPr>
            <w:r w:rsidRPr="00CC6E95">
              <w:rPr>
                <w:rFonts w:ascii="Poppins" w:eastAsia="Times New Roman" w:hAnsi="Poppins" w:cs="Poppins"/>
                <w:color w:val="004C6A"/>
                <w:sz w:val="24"/>
                <w:szCs w:val="24"/>
                <w:lang w:eastAsia="en-GB"/>
              </w:rPr>
              <w:t>Encouraging effective communication and relationships between providers and Surrey residents will also be important to ensuring that people are able to access the care and support that they need.</w:t>
            </w:r>
          </w:p>
          <w:p w14:paraId="433C67D0" w14:textId="3FF4DB1B" w:rsidR="00C43E95" w:rsidRPr="00CC6E95" w:rsidRDefault="00C43E95" w:rsidP="009C6B72">
            <w:pPr>
              <w:spacing w:after="0" w:line="240" w:lineRule="auto"/>
              <w:ind w:firstLine="60"/>
              <w:jc w:val="center"/>
              <w:textAlignment w:val="baseline"/>
              <w:rPr>
                <w:rFonts w:ascii="Poppins" w:eastAsia="Times New Roman" w:hAnsi="Poppins" w:cs="Poppins"/>
                <w:b/>
                <w:bCs/>
                <w:color w:val="FFFFFF" w:themeColor="background1"/>
                <w:sz w:val="24"/>
                <w:szCs w:val="24"/>
                <w:lang w:eastAsia="en-GB"/>
              </w:rPr>
            </w:pPr>
          </w:p>
        </w:tc>
        <w:tc>
          <w:tcPr>
            <w:tcW w:w="7104" w:type="dxa"/>
            <w:tcBorders>
              <w:top w:val="single" w:sz="4" w:space="0" w:color="auto"/>
              <w:left w:val="single" w:sz="4" w:space="0" w:color="auto"/>
              <w:bottom w:val="single" w:sz="4" w:space="0" w:color="auto"/>
              <w:right w:val="single" w:sz="4" w:space="0" w:color="auto"/>
            </w:tcBorders>
            <w:shd w:val="clear" w:color="auto" w:fill="FFFFFF" w:themeFill="background1"/>
          </w:tcPr>
          <w:p w14:paraId="3D72663A" w14:textId="77777777" w:rsidR="00C43E95" w:rsidRDefault="00992ECA" w:rsidP="00304C9A">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 xml:space="preserve">We </w:t>
            </w:r>
            <w:r w:rsidR="00985D09">
              <w:rPr>
                <w:rFonts w:ascii="Poppins" w:eastAsia="Times New Roman" w:hAnsi="Poppins" w:cs="Poppins"/>
                <w:color w:val="004C6A"/>
                <w:sz w:val="24"/>
                <w:szCs w:val="24"/>
                <w:lang w:eastAsia="en-GB"/>
              </w:rPr>
              <w:t>will encourage primary care to better understand and meet the needs of their local popul</w:t>
            </w:r>
            <w:r w:rsidR="00152F7C">
              <w:rPr>
                <w:rFonts w:ascii="Poppins" w:eastAsia="Times New Roman" w:hAnsi="Poppins" w:cs="Poppins"/>
                <w:color w:val="004C6A"/>
                <w:sz w:val="24"/>
                <w:szCs w:val="24"/>
                <w:lang w:eastAsia="en-GB"/>
              </w:rPr>
              <w:t>ation consistently.</w:t>
            </w:r>
          </w:p>
          <w:p w14:paraId="20EE2246" w14:textId="77777777" w:rsidR="00152F7C" w:rsidRDefault="00152F7C" w:rsidP="00304C9A">
            <w:pPr>
              <w:spacing w:after="0" w:line="240" w:lineRule="auto"/>
              <w:ind w:left="360"/>
              <w:textAlignment w:val="baseline"/>
              <w:rPr>
                <w:rFonts w:ascii="Poppins" w:eastAsia="Times New Roman" w:hAnsi="Poppins" w:cs="Poppins"/>
                <w:color w:val="004C6A"/>
                <w:sz w:val="24"/>
                <w:szCs w:val="24"/>
                <w:lang w:eastAsia="en-GB"/>
              </w:rPr>
            </w:pPr>
          </w:p>
          <w:p w14:paraId="3356CA10" w14:textId="77777777" w:rsidR="00152F7C" w:rsidRDefault="00152F7C" w:rsidP="00304C9A">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 xml:space="preserve">We will </w:t>
            </w:r>
            <w:r w:rsidR="00341AB3">
              <w:rPr>
                <w:rFonts w:ascii="Poppins" w:eastAsia="Times New Roman" w:hAnsi="Poppins" w:cs="Poppins"/>
                <w:color w:val="004C6A"/>
                <w:sz w:val="24"/>
                <w:szCs w:val="24"/>
                <w:lang w:eastAsia="en-GB"/>
              </w:rPr>
              <w:t>i</w:t>
            </w:r>
            <w:r w:rsidR="00BE32DB" w:rsidRPr="00BE32DB">
              <w:rPr>
                <w:rFonts w:ascii="Poppins" w:eastAsia="Times New Roman" w:hAnsi="Poppins" w:cs="Poppins"/>
                <w:color w:val="004C6A"/>
                <w:sz w:val="24"/>
                <w:szCs w:val="24"/>
                <w:lang w:eastAsia="en-GB"/>
              </w:rPr>
              <w:t>mprove the information and advice to the population about access to primary care</w:t>
            </w:r>
            <w:r w:rsidR="0038306D">
              <w:rPr>
                <w:rFonts w:ascii="Poppins" w:eastAsia="Times New Roman" w:hAnsi="Poppins" w:cs="Poppins"/>
                <w:color w:val="004C6A"/>
                <w:sz w:val="24"/>
                <w:szCs w:val="24"/>
                <w:lang w:eastAsia="en-GB"/>
              </w:rPr>
              <w:t>.</w:t>
            </w:r>
          </w:p>
          <w:p w14:paraId="4A4AC11C" w14:textId="77777777" w:rsidR="008962B9" w:rsidRDefault="008962B9" w:rsidP="00304C9A">
            <w:pPr>
              <w:spacing w:after="0" w:line="240" w:lineRule="auto"/>
              <w:ind w:left="360"/>
              <w:textAlignment w:val="baseline"/>
              <w:rPr>
                <w:rFonts w:ascii="Poppins" w:eastAsia="Times New Roman" w:hAnsi="Poppins" w:cs="Poppins"/>
                <w:color w:val="004C6A"/>
                <w:sz w:val="24"/>
                <w:szCs w:val="24"/>
                <w:lang w:eastAsia="en-GB"/>
              </w:rPr>
            </w:pPr>
          </w:p>
          <w:p w14:paraId="4D9EC840" w14:textId="1E28D4EB" w:rsidR="008962B9" w:rsidRPr="007C3FBE" w:rsidRDefault="00011119" w:rsidP="00304C9A">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We will influence s</w:t>
            </w:r>
            <w:r w:rsidR="00CE3E6E">
              <w:rPr>
                <w:rFonts w:ascii="Poppins" w:eastAsia="Times New Roman" w:hAnsi="Poppins" w:cs="Poppins"/>
                <w:color w:val="004C6A"/>
                <w:sz w:val="24"/>
                <w:szCs w:val="24"/>
                <w:lang w:eastAsia="en-GB"/>
              </w:rPr>
              <w:t xml:space="preserve">ervices </w:t>
            </w:r>
            <w:r>
              <w:rPr>
                <w:rFonts w:ascii="Poppins" w:eastAsia="Times New Roman" w:hAnsi="Poppins" w:cs="Poppins"/>
                <w:color w:val="004C6A"/>
                <w:sz w:val="24"/>
                <w:szCs w:val="24"/>
                <w:lang w:eastAsia="en-GB"/>
              </w:rPr>
              <w:t>to</w:t>
            </w:r>
            <w:r w:rsidR="00CE3E6E">
              <w:rPr>
                <w:rFonts w:ascii="Poppins" w:eastAsia="Times New Roman" w:hAnsi="Poppins" w:cs="Poppins"/>
                <w:color w:val="004C6A"/>
                <w:sz w:val="24"/>
                <w:szCs w:val="24"/>
                <w:lang w:eastAsia="en-GB"/>
              </w:rPr>
              <w:t xml:space="preserve"> integrate </w:t>
            </w:r>
            <w:r>
              <w:rPr>
                <w:rFonts w:ascii="Poppins" w:eastAsia="Times New Roman" w:hAnsi="Poppins" w:cs="Poppins"/>
                <w:color w:val="004C6A"/>
                <w:sz w:val="24"/>
                <w:szCs w:val="24"/>
                <w:lang w:eastAsia="en-GB"/>
              </w:rPr>
              <w:t>to improve access to primary.</w:t>
            </w:r>
          </w:p>
        </w:tc>
      </w:tr>
      <w:tr w:rsidR="00C43E95" w:rsidRPr="005D530E" w14:paraId="32A986D1" w14:textId="5FD8AAAD" w:rsidTr="00F07B90">
        <w:trPr>
          <w:trHeight w:val="296"/>
        </w:trPr>
        <w:tc>
          <w:tcPr>
            <w:tcW w:w="2246" w:type="dxa"/>
            <w:vMerge/>
            <w:hideMark/>
          </w:tcPr>
          <w:p w14:paraId="3DEE357D" w14:textId="2A1EE40D" w:rsidR="00C43E95" w:rsidRPr="005D530E" w:rsidRDefault="00C43E95" w:rsidP="003641CB">
            <w:pPr>
              <w:spacing w:after="0" w:line="240" w:lineRule="auto"/>
              <w:textAlignment w:val="baseline"/>
              <w:rPr>
                <w:rFonts w:ascii="Poppins" w:eastAsia="Times New Roman" w:hAnsi="Poppins" w:cs="Poppins"/>
                <w:sz w:val="18"/>
                <w:szCs w:val="18"/>
                <w:lang w:eastAsia="en-GB"/>
              </w:rPr>
            </w:pPr>
          </w:p>
        </w:tc>
        <w:tc>
          <w:tcPr>
            <w:tcW w:w="1715" w:type="dxa"/>
            <w:tcBorders>
              <w:top w:val="single" w:sz="4" w:space="0" w:color="auto"/>
              <w:left w:val="single" w:sz="6" w:space="0" w:color="auto"/>
              <w:bottom w:val="single" w:sz="4" w:space="0" w:color="auto"/>
              <w:right w:val="single" w:sz="4" w:space="0" w:color="auto"/>
            </w:tcBorders>
            <w:shd w:val="clear" w:color="auto" w:fill="95C11F"/>
            <w:vAlign w:val="center"/>
            <w:hideMark/>
          </w:tcPr>
          <w:p w14:paraId="7686C876" w14:textId="07E8D83C" w:rsidR="00C43E95" w:rsidRPr="005D530E" w:rsidRDefault="00C43E95" w:rsidP="42B5B7FB">
            <w:pPr>
              <w:spacing w:after="0" w:line="240" w:lineRule="auto"/>
              <w:jc w:val="center"/>
              <w:textAlignment w:val="baseline"/>
              <w:rPr>
                <w:rFonts w:ascii="Poppins" w:eastAsia="Times New Roman" w:hAnsi="Poppins" w:cs="Poppins"/>
                <w:b/>
                <w:bCs/>
                <w:color w:val="FFFFFF" w:themeColor="background1"/>
                <w:sz w:val="18"/>
                <w:szCs w:val="18"/>
                <w:lang w:eastAsia="en-GB"/>
              </w:rPr>
            </w:pPr>
            <w:r w:rsidRPr="005D530E">
              <w:rPr>
                <w:rFonts w:ascii="Poppins" w:eastAsia="Times New Roman" w:hAnsi="Poppins" w:cs="Poppins"/>
                <w:b/>
                <w:bCs/>
                <w:color w:val="FFFFFF" w:themeColor="background1"/>
                <w:sz w:val="24"/>
                <w:szCs w:val="24"/>
                <w:lang w:eastAsia="en-GB"/>
              </w:rPr>
              <w:t>Social care </w:t>
            </w:r>
          </w:p>
          <w:p w14:paraId="2BC53EB8" w14:textId="77777777" w:rsidR="00C43E95" w:rsidRPr="005D530E" w:rsidRDefault="00C43E95" w:rsidP="42B5B7FB">
            <w:pPr>
              <w:spacing w:after="0" w:line="240" w:lineRule="auto"/>
              <w:jc w:val="center"/>
              <w:textAlignment w:val="baseline"/>
              <w:rPr>
                <w:rFonts w:ascii="Poppins" w:eastAsia="Times New Roman" w:hAnsi="Poppins" w:cs="Poppins"/>
                <w:b/>
                <w:bCs/>
                <w:color w:val="FFFFFF" w:themeColor="background1"/>
                <w:sz w:val="18"/>
                <w:szCs w:val="18"/>
                <w:lang w:eastAsia="en-GB"/>
              </w:rPr>
            </w:pPr>
            <w:r w:rsidRPr="005D530E">
              <w:rPr>
                <w:rFonts w:ascii="Poppins" w:eastAsia="Times New Roman" w:hAnsi="Poppins" w:cs="Poppins"/>
                <w:b/>
                <w:bCs/>
                <w:color w:val="FFFFFF" w:themeColor="background1"/>
                <w:sz w:val="24"/>
                <w:szCs w:val="24"/>
                <w:lang w:eastAsia="en-GB"/>
              </w:rPr>
              <w:t> </w:t>
            </w:r>
          </w:p>
        </w:tc>
        <w:tc>
          <w:tcPr>
            <w:tcW w:w="177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50608" w14:textId="77777777" w:rsidR="00C43E95" w:rsidRDefault="00C43E95" w:rsidP="00744742">
            <w:pPr>
              <w:spacing w:after="0" w:line="240" w:lineRule="auto"/>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Social care support can change the lives of many Surrey residents. The availability of social care and understanding of what is available can often be complicated for many people who need to access support. Ensuring that people are involved in shaping social care services by sharing experiences and the challenges that people share with us is pivotal in improving services.</w:t>
            </w:r>
          </w:p>
          <w:p w14:paraId="794DDA65" w14:textId="77777777" w:rsidR="00C43E95" w:rsidRDefault="00C43E95" w:rsidP="00744742">
            <w:pPr>
              <w:spacing w:after="0" w:line="240" w:lineRule="auto"/>
              <w:textAlignment w:val="baseline"/>
              <w:rPr>
                <w:rFonts w:ascii="Poppins" w:eastAsia="Times New Roman" w:hAnsi="Poppins" w:cs="Poppins"/>
                <w:color w:val="004C6A"/>
                <w:sz w:val="24"/>
                <w:szCs w:val="24"/>
                <w:lang w:eastAsia="en-GB"/>
              </w:rPr>
            </w:pPr>
          </w:p>
          <w:p w14:paraId="249A32AF" w14:textId="4D9A9422" w:rsidR="00C43E95" w:rsidRDefault="00C43E95" w:rsidP="00744742">
            <w:pPr>
              <w:spacing w:after="0" w:line="240" w:lineRule="auto"/>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The integration of health and social care is still in its early stages and the success of this will have a significant impact on the health and wellbeing of local people.</w:t>
            </w:r>
          </w:p>
          <w:p w14:paraId="7A1FD7DF" w14:textId="2FA52F1F" w:rsidR="00C43E95" w:rsidRPr="00BE0295" w:rsidRDefault="00C43E95" w:rsidP="00BE0295">
            <w:pPr>
              <w:spacing w:after="0" w:line="240" w:lineRule="auto"/>
              <w:rPr>
                <w:rFonts w:ascii="Poppins" w:eastAsia="Times New Roman" w:hAnsi="Poppins" w:cs="Poppins"/>
                <w:color w:val="004C6A"/>
                <w:sz w:val="18"/>
                <w:szCs w:val="18"/>
                <w:lang w:eastAsia="en-GB"/>
              </w:rPr>
            </w:pPr>
          </w:p>
        </w:tc>
        <w:tc>
          <w:tcPr>
            <w:tcW w:w="7104" w:type="dxa"/>
            <w:tcBorders>
              <w:top w:val="single" w:sz="4" w:space="0" w:color="auto"/>
              <w:left w:val="single" w:sz="4" w:space="0" w:color="auto"/>
              <w:bottom w:val="single" w:sz="4" w:space="0" w:color="auto"/>
              <w:right w:val="single" w:sz="4" w:space="0" w:color="auto"/>
            </w:tcBorders>
            <w:shd w:val="clear" w:color="auto" w:fill="FFFFFF" w:themeFill="background1"/>
          </w:tcPr>
          <w:p w14:paraId="4594A958" w14:textId="77777777" w:rsidR="00C43E95" w:rsidRDefault="00F148E3" w:rsidP="007C3FBE">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 xml:space="preserve">Our support to service users </w:t>
            </w:r>
            <w:r w:rsidR="0035796D">
              <w:rPr>
                <w:rFonts w:ascii="Poppins" w:eastAsia="Times New Roman" w:hAnsi="Poppins" w:cs="Poppins"/>
                <w:color w:val="004C6A"/>
                <w:sz w:val="24"/>
                <w:szCs w:val="24"/>
                <w:lang w:eastAsia="en-GB"/>
              </w:rPr>
              <w:t xml:space="preserve">will improve as a result of us having a </w:t>
            </w:r>
            <w:proofErr w:type="gramStart"/>
            <w:r w:rsidR="00FC3FE3">
              <w:rPr>
                <w:rFonts w:ascii="Poppins" w:eastAsia="Times New Roman" w:hAnsi="Poppins" w:cs="Poppins"/>
                <w:color w:val="004C6A"/>
                <w:sz w:val="24"/>
                <w:szCs w:val="24"/>
                <w:lang w:eastAsia="en-GB"/>
              </w:rPr>
              <w:t>more sound</w:t>
            </w:r>
            <w:proofErr w:type="gramEnd"/>
            <w:r w:rsidR="00FC3FE3">
              <w:rPr>
                <w:rFonts w:ascii="Poppins" w:eastAsia="Times New Roman" w:hAnsi="Poppins" w:cs="Poppins"/>
                <w:color w:val="004C6A"/>
                <w:sz w:val="24"/>
                <w:szCs w:val="24"/>
                <w:lang w:eastAsia="en-GB"/>
              </w:rPr>
              <w:t xml:space="preserve"> understanding of social services.</w:t>
            </w:r>
          </w:p>
          <w:p w14:paraId="43465AAD" w14:textId="77777777" w:rsidR="00FC3FE3" w:rsidRDefault="00FC3FE3" w:rsidP="007C3FBE">
            <w:pPr>
              <w:spacing w:after="0" w:line="240" w:lineRule="auto"/>
              <w:ind w:left="360"/>
              <w:textAlignment w:val="baseline"/>
              <w:rPr>
                <w:rFonts w:ascii="Poppins" w:eastAsia="Times New Roman" w:hAnsi="Poppins" w:cs="Poppins"/>
                <w:color w:val="004C6A"/>
                <w:sz w:val="24"/>
                <w:szCs w:val="24"/>
                <w:lang w:eastAsia="en-GB"/>
              </w:rPr>
            </w:pPr>
          </w:p>
          <w:p w14:paraId="161893DB" w14:textId="40A2D813" w:rsidR="00FC3FE3" w:rsidRPr="007C3FBE" w:rsidRDefault="00FC3FE3" w:rsidP="007C3FBE">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We will support social services to have a better understanding of people’s experiences</w:t>
            </w:r>
            <w:r w:rsidR="00EC70DE">
              <w:rPr>
                <w:rFonts w:ascii="Poppins" w:eastAsia="Times New Roman" w:hAnsi="Poppins" w:cs="Poppins"/>
                <w:color w:val="004C6A"/>
                <w:sz w:val="24"/>
                <w:szCs w:val="24"/>
                <w:lang w:eastAsia="en-GB"/>
              </w:rPr>
              <w:t xml:space="preserve"> and improve services as a result</w:t>
            </w:r>
            <w:r w:rsidR="00C9508C">
              <w:rPr>
                <w:rFonts w:ascii="Poppins" w:eastAsia="Times New Roman" w:hAnsi="Poppins" w:cs="Poppins"/>
                <w:color w:val="004C6A"/>
                <w:sz w:val="24"/>
                <w:szCs w:val="24"/>
                <w:lang w:eastAsia="en-GB"/>
              </w:rPr>
              <w:t>.</w:t>
            </w:r>
          </w:p>
        </w:tc>
      </w:tr>
      <w:tr w:rsidR="00C43E95" w:rsidRPr="005D530E" w14:paraId="79539008" w14:textId="43EC1540" w:rsidTr="00F07B90">
        <w:trPr>
          <w:trHeight w:val="296"/>
        </w:trPr>
        <w:tc>
          <w:tcPr>
            <w:tcW w:w="2246" w:type="dxa"/>
            <w:vMerge/>
            <w:hideMark/>
          </w:tcPr>
          <w:p w14:paraId="2CA5BCB2" w14:textId="7E1F8FB3" w:rsidR="00C43E95" w:rsidRPr="005D530E" w:rsidRDefault="00C43E95" w:rsidP="003641CB">
            <w:pPr>
              <w:spacing w:after="0" w:line="240" w:lineRule="auto"/>
              <w:textAlignment w:val="baseline"/>
              <w:rPr>
                <w:rFonts w:ascii="Poppins" w:eastAsia="Times New Roman" w:hAnsi="Poppins" w:cs="Poppins"/>
                <w:sz w:val="18"/>
                <w:szCs w:val="18"/>
                <w:lang w:eastAsia="en-GB"/>
              </w:rPr>
            </w:pPr>
          </w:p>
        </w:tc>
        <w:tc>
          <w:tcPr>
            <w:tcW w:w="1715" w:type="dxa"/>
            <w:tcBorders>
              <w:top w:val="single" w:sz="4" w:space="0" w:color="auto"/>
              <w:left w:val="single" w:sz="6" w:space="0" w:color="auto"/>
              <w:bottom w:val="single" w:sz="6" w:space="0" w:color="auto"/>
              <w:right w:val="single" w:sz="6" w:space="0" w:color="auto"/>
            </w:tcBorders>
            <w:shd w:val="clear" w:color="auto" w:fill="95C11F"/>
            <w:vAlign w:val="center"/>
            <w:hideMark/>
          </w:tcPr>
          <w:p w14:paraId="6D44B80D" w14:textId="77777777" w:rsidR="00C43E95" w:rsidRPr="005D530E" w:rsidRDefault="00C43E95" w:rsidP="42B5B7FB">
            <w:pPr>
              <w:spacing w:after="0" w:line="240" w:lineRule="auto"/>
              <w:jc w:val="center"/>
              <w:textAlignment w:val="baseline"/>
              <w:rPr>
                <w:rFonts w:ascii="Poppins" w:eastAsia="Times New Roman" w:hAnsi="Poppins" w:cs="Poppins"/>
                <w:b/>
                <w:bCs/>
                <w:color w:val="FFFFFF" w:themeColor="background1"/>
                <w:sz w:val="18"/>
                <w:szCs w:val="18"/>
                <w:lang w:eastAsia="en-GB"/>
              </w:rPr>
            </w:pPr>
            <w:r w:rsidRPr="005D530E">
              <w:rPr>
                <w:rFonts w:ascii="Poppins" w:eastAsia="Times New Roman" w:hAnsi="Poppins" w:cs="Poppins"/>
                <w:b/>
                <w:bCs/>
                <w:color w:val="FFFFFF" w:themeColor="background1"/>
                <w:sz w:val="24"/>
                <w:szCs w:val="24"/>
                <w:lang w:eastAsia="en-GB"/>
              </w:rPr>
              <w:t>Mental Health </w:t>
            </w:r>
          </w:p>
          <w:p w14:paraId="0055BE31" w14:textId="77777777" w:rsidR="00C43E95" w:rsidRPr="005D530E" w:rsidRDefault="00C43E95" w:rsidP="42B5B7FB">
            <w:pPr>
              <w:spacing w:after="0" w:line="240" w:lineRule="auto"/>
              <w:jc w:val="center"/>
              <w:textAlignment w:val="baseline"/>
              <w:rPr>
                <w:rFonts w:ascii="Poppins" w:eastAsia="Times New Roman" w:hAnsi="Poppins" w:cs="Poppins"/>
                <w:b/>
                <w:bCs/>
                <w:color w:val="FFFFFF" w:themeColor="background1"/>
                <w:sz w:val="18"/>
                <w:szCs w:val="18"/>
                <w:lang w:eastAsia="en-GB"/>
              </w:rPr>
            </w:pPr>
            <w:r w:rsidRPr="005D530E">
              <w:rPr>
                <w:rFonts w:ascii="Poppins" w:eastAsia="Times New Roman" w:hAnsi="Poppins" w:cs="Poppins"/>
                <w:b/>
                <w:bCs/>
                <w:color w:val="FFFFFF" w:themeColor="background1"/>
                <w:sz w:val="24"/>
                <w:szCs w:val="24"/>
                <w:lang w:eastAsia="en-GB"/>
              </w:rPr>
              <w:t> </w:t>
            </w:r>
          </w:p>
        </w:tc>
        <w:tc>
          <w:tcPr>
            <w:tcW w:w="17719" w:type="dxa"/>
            <w:tcBorders>
              <w:top w:val="single" w:sz="4" w:space="0" w:color="auto"/>
              <w:left w:val="single" w:sz="6" w:space="0" w:color="auto"/>
              <w:bottom w:val="single" w:sz="6" w:space="0" w:color="auto"/>
              <w:right w:val="single" w:sz="4" w:space="0" w:color="auto"/>
            </w:tcBorders>
            <w:shd w:val="clear" w:color="auto" w:fill="FFFFFF" w:themeFill="background1"/>
            <w:hideMark/>
          </w:tcPr>
          <w:p w14:paraId="69F71ABC" w14:textId="33E0050A" w:rsidR="00C43E95" w:rsidRPr="006C4372" w:rsidRDefault="006C4372" w:rsidP="006C4372">
            <w:pPr>
              <w:spacing w:after="0" w:line="240" w:lineRule="auto"/>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 xml:space="preserve">Mental Health is intrinsically linked to </w:t>
            </w:r>
            <w:r w:rsidR="00C64FFA">
              <w:rPr>
                <w:rFonts w:ascii="Poppins" w:eastAsia="Times New Roman" w:hAnsi="Poppins" w:cs="Poppins"/>
                <w:color w:val="004C6A"/>
                <w:sz w:val="24"/>
                <w:szCs w:val="24"/>
                <w:lang w:eastAsia="en-GB"/>
              </w:rPr>
              <w:t>the</w:t>
            </w:r>
            <w:r>
              <w:rPr>
                <w:rFonts w:ascii="Poppins" w:eastAsia="Times New Roman" w:hAnsi="Poppins" w:cs="Poppins"/>
                <w:color w:val="004C6A"/>
                <w:sz w:val="24"/>
                <w:szCs w:val="24"/>
                <w:lang w:eastAsia="en-GB"/>
              </w:rPr>
              <w:t xml:space="preserve"> health and wellbeing</w:t>
            </w:r>
            <w:r w:rsidR="00C64FFA">
              <w:rPr>
                <w:rFonts w:ascii="Poppins" w:eastAsia="Times New Roman" w:hAnsi="Poppins" w:cs="Poppins"/>
                <w:color w:val="004C6A"/>
                <w:sz w:val="24"/>
                <w:szCs w:val="24"/>
                <w:lang w:eastAsia="en-GB"/>
              </w:rPr>
              <w:t xml:space="preserve"> of local people</w:t>
            </w:r>
            <w:r w:rsidR="00280106">
              <w:rPr>
                <w:rFonts w:ascii="Poppins" w:eastAsia="Times New Roman" w:hAnsi="Poppins" w:cs="Poppins"/>
                <w:color w:val="004C6A"/>
                <w:sz w:val="24"/>
                <w:szCs w:val="24"/>
                <w:lang w:eastAsia="en-GB"/>
              </w:rPr>
              <w:t xml:space="preserve">. </w:t>
            </w:r>
            <w:r w:rsidR="00E048E1">
              <w:rPr>
                <w:rFonts w:ascii="Poppins" w:eastAsia="Times New Roman" w:hAnsi="Poppins" w:cs="Poppins"/>
                <w:color w:val="004C6A"/>
                <w:sz w:val="24"/>
                <w:szCs w:val="24"/>
                <w:lang w:eastAsia="en-GB"/>
              </w:rPr>
              <w:t>By ensuring that p</w:t>
            </w:r>
            <w:r w:rsidR="00280106">
              <w:rPr>
                <w:rFonts w:ascii="Poppins" w:eastAsia="Times New Roman" w:hAnsi="Poppins" w:cs="Poppins"/>
                <w:color w:val="004C6A"/>
                <w:sz w:val="24"/>
                <w:szCs w:val="24"/>
                <w:lang w:eastAsia="en-GB"/>
              </w:rPr>
              <w:t>eople’s experiences of mental health services</w:t>
            </w:r>
            <w:r w:rsidR="00EF0761">
              <w:rPr>
                <w:rFonts w:ascii="Poppins" w:eastAsia="Times New Roman" w:hAnsi="Poppins" w:cs="Poppins"/>
                <w:color w:val="004C6A"/>
                <w:sz w:val="24"/>
                <w:szCs w:val="24"/>
                <w:lang w:eastAsia="en-GB"/>
              </w:rPr>
              <w:t>,</w:t>
            </w:r>
            <w:r w:rsidR="00280106">
              <w:rPr>
                <w:rFonts w:ascii="Poppins" w:eastAsia="Times New Roman" w:hAnsi="Poppins" w:cs="Poppins"/>
                <w:color w:val="004C6A"/>
                <w:sz w:val="24"/>
                <w:szCs w:val="24"/>
                <w:lang w:eastAsia="en-GB"/>
              </w:rPr>
              <w:t xml:space="preserve"> as well as the impact </w:t>
            </w:r>
            <w:r w:rsidR="00C64FFA">
              <w:rPr>
                <w:rFonts w:ascii="Poppins" w:eastAsia="Times New Roman" w:hAnsi="Poppins" w:cs="Poppins"/>
                <w:color w:val="004C6A"/>
                <w:sz w:val="24"/>
                <w:szCs w:val="24"/>
                <w:lang w:eastAsia="en-GB"/>
              </w:rPr>
              <w:t xml:space="preserve">that wider determinants of health and health inequalities can have </w:t>
            </w:r>
            <w:r w:rsidR="005346D6">
              <w:rPr>
                <w:rFonts w:ascii="Poppins" w:eastAsia="Times New Roman" w:hAnsi="Poppins" w:cs="Poppins"/>
                <w:color w:val="004C6A"/>
                <w:sz w:val="24"/>
                <w:szCs w:val="24"/>
                <w:lang w:eastAsia="en-GB"/>
              </w:rPr>
              <w:t>on mental health</w:t>
            </w:r>
            <w:r w:rsidR="00E048E1">
              <w:rPr>
                <w:rFonts w:ascii="Poppins" w:eastAsia="Times New Roman" w:hAnsi="Poppins" w:cs="Poppins"/>
                <w:color w:val="004C6A"/>
                <w:sz w:val="24"/>
                <w:szCs w:val="24"/>
                <w:lang w:eastAsia="en-GB"/>
              </w:rPr>
              <w:t xml:space="preserve"> is shared, understood, and acted upon will </w:t>
            </w:r>
            <w:r w:rsidR="00FC43FF">
              <w:rPr>
                <w:rFonts w:ascii="Poppins" w:eastAsia="Times New Roman" w:hAnsi="Poppins" w:cs="Poppins"/>
                <w:color w:val="004C6A"/>
                <w:sz w:val="24"/>
                <w:szCs w:val="24"/>
                <w:lang w:eastAsia="en-GB"/>
              </w:rPr>
              <w:t>help to improve services and understanding of the significance of local people’s mental health.</w:t>
            </w:r>
          </w:p>
          <w:p w14:paraId="3D15686A" w14:textId="6523B592" w:rsidR="00C43E95" w:rsidRPr="005D530E" w:rsidRDefault="00C43E95" w:rsidP="003641CB">
            <w:pPr>
              <w:spacing w:after="0" w:line="240" w:lineRule="auto"/>
              <w:textAlignment w:val="baseline"/>
              <w:rPr>
                <w:rFonts w:ascii="Poppins" w:eastAsia="Times New Roman" w:hAnsi="Poppins" w:cs="Poppins"/>
                <w:color w:val="004C6A"/>
                <w:lang w:eastAsia="en-GB"/>
              </w:rPr>
            </w:pPr>
          </w:p>
        </w:tc>
        <w:tc>
          <w:tcPr>
            <w:tcW w:w="7104" w:type="dxa"/>
            <w:tcBorders>
              <w:top w:val="single" w:sz="4" w:space="0" w:color="auto"/>
              <w:left w:val="single" w:sz="4" w:space="0" w:color="auto"/>
              <w:bottom w:val="single" w:sz="4" w:space="0" w:color="auto"/>
              <w:right w:val="single" w:sz="4" w:space="0" w:color="auto"/>
            </w:tcBorders>
            <w:shd w:val="clear" w:color="auto" w:fill="FFFFFF" w:themeFill="background1"/>
          </w:tcPr>
          <w:p w14:paraId="4CF2C8A0" w14:textId="3A3F94F6" w:rsidR="00635B94" w:rsidRDefault="00635B94" w:rsidP="00635B94">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 xml:space="preserve">Our support to service users will improve </w:t>
            </w:r>
            <w:proofErr w:type="gramStart"/>
            <w:r>
              <w:rPr>
                <w:rFonts w:ascii="Poppins" w:eastAsia="Times New Roman" w:hAnsi="Poppins" w:cs="Poppins"/>
                <w:color w:val="004C6A"/>
                <w:sz w:val="24"/>
                <w:szCs w:val="24"/>
                <w:lang w:eastAsia="en-GB"/>
              </w:rPr>
              <w:t>as a result of</w:t>
            </w:r>
            <w:proofErr w:type="gramEnd"/>
            <w:r>
              <w:rPr>
                <w:rFonts w:ascii="Poppins" w:eastAsia="Times New Roman" w:hAnsi="Poppins" w:cs="Poppins"/>
                <w:color w:val="004C6A"/>
                <w:sz w:val="24"/>
                <w:szCs w:val="24"/>
                <w:lang w:eastAsia="en-GB"/>
              </w:rPr>
              <w:t xml:space="preserve"> us </w:t>
            </w:r>
            <w:r w:rsidR="002A54D1">
              <w:rPr>
                <w:rFonts w:ascii="Poppins" w:eastAsia="Times New Roman" w:hAnsi="Poppins" w:cs="Poppins"/>
                <w:color w:val="004C6A"/>
                <w:sz w:val="24"/>
                <w:szCs w:val="24"/>
                <w:lang w:eastAsia="en-GB"/>
              </w:rPr>
              <w:t xml:space="preserve">being able to better navigate services, meaning less </w:t>
            </w:r>
            <w:r w:rsidR="001276A9">
              <w:rPr>
                <w:rFonts w:ascii="Poppins" w:eastAsia="Times New Roman" w:hAnsi="Poppins" w:cs="Poppins"/>
                <w:color w:val="004C6A"/>
                <w:sz w:val="24"/>
                <w:szCs w:val="24"/>
                <w:lang w:eastAsia="en-GB"/>
              </w:rPr>
              <w:t>bouncing for those accessing services</w:t>
            </w:r>
            <w:r>
              <w:rPr>
                <w:rFonts w:ascii="Poppins" w:eastAsia="Times New Roman" w:hAnsi="Poppins" w:cs="Poppins"/>
                <w:color w:val="004C6A"/>
                <w:sz w:val="24"/>
                <w:szCs w:val="24"/>
                <w:lang w:eastAsia="en-GB"/>
              </w:rPr>
              <w:t>.</w:t>
            </w:r>
          </w:p>
          <w:p w14:paraId="74E7F8A6" w14:textId="77777777" w:rsidR="001276A9" w:rsidRDefault="001276A9" w:rsidP="00635B94">
            <w:pPr>
              <w:spacing w:after="0" w:line="240" w:lineRule="auto"/>
              <w:ind w:left="360"/>
              <w:textAlignment w:val="baseline"/>
              <w:rPr>
                <w:rFonts w:ascii="Poppins" w:eastAsia="Times New Roman" w:hAnsi="Poppins" w:cs="Poppins"/>
                <w:color w:val="004C6A"/>
                <w:sz w:val="24"/>
                <w:szCs w:val="24"/>
                <w:lang w:eastAsia="en-GB"/>
              </w:rPr>
            </w:pPr>
          </w:p>
          <w:p w14:paraId="28E9C12B" w14:textId="4DCE7774" w:rsidR="001276A9" w:rsidRDefault="001276A9" w:rsidP="00635B94">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 xml:space="preserve">We will influence </w:t>
            </w:r>
            <w:r w:rsidR="00FC3823">
              <w:rPr>
                <w:rFonts w:ascii="Poppins" w:eastAsia="Times New Roman" w:hAnsi="Poppins" w:cs="Poppins"/>
                <w:color w:val="004C6A"/>
                <w:sz w:val="24"/>
                <w:szCs w:val="24"/>
                <w:lang w:eastAsia="en-GB"/>
              </w:rPr>
              <w:t xml:space="preserve">improvements to services by ensuring people’s experiences </w:t>
            </w:r>
            <w:r w:rsidR="00684143">
              <w:rPr>
                <w:rFonts w:ascii="Poppins" w:eastAsia="Times New Roman" w:hAnsi="Poppins" w:cs="Poppins"/>
                <w:color w:val="004C6A"/>
                <w:sz w:val="24"/>
                <w:szCs w:val="24"/>
                <w:lang w:eastAsia="en-GB"/>
              </w:rPr>
              <w:t>are listened to and acted on.</w:t>
            </w:r>
          </w:p>
          <w:p w14:paraId="377D0289" w14:textId="440EA40F" w:rsidR="00370B5D" w:rsidRDefault="00370B5D" w:rsidP="00635B94">
            <w:pPr>
              <w:spacing w:after="0" w:line="240" w:lineRule="auto"/>
              <w:ind w:left="360"/>
              <w:textAlignment w:val="baseline"/>
              <w:rPr>
                <w:rFonts w:ascii="Poppins" w:eastAsia="Times New Roman" w:hAnsi="Poppins" w:cs="Poppins"/>
                <w:color w:val="004C6A"/>
                <w:sz w:val="24"/>
                <w:szCs w:val="24"/>
                <w:lang w:eastAsia="en-GB"/>
              </w:rPr>
            </w:pPr>
          </w:p>
          <w:p w14:paraId="49441164" w14:textId="2029FECF" w:rsidR="00370B5D" w:rsidRDefault="00501639" w:rsidP="00635B94">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 xml:space="preserve">By focussing on </w:t>
            </w:r>
            <w:r w:rsidR="005441EB">
              <w:rPr>
                <w:rFonts w:ascii="Poppins" w:eastAsia="Times New Roman" w:hAnsi="Poppins" w:cs="Poppins"/>
                <w:color w:val="004C6A"/>
                <w:sz w:val="24"/>
                <w:szCs w:val="24"/>
                <w:lang w:eastAsia="en-GB"/>
              </w:rPr>
              <w:t xml:space="preserve">people’s experiences of </w:t>
            </w:r>
            <w:r>
              <w:rPr>
                <w:rFonts w:ascii="Poppins" w:eastAsia="Times New Roman" w:hAnsi="Poppins" w:cs="Poppins"/>
                <w:color w:val="004C6A"/>
                <w:sz w:val="24"/>
                <w:szCs w:val="24"/>
                <w:lang w:eastAsia="en-GB"/>
              </w:rPr>
              <w:t>early intervention and crisis support, we will encourage services to</w:t>
            </w:r>
            <w:r w:rsidR="005441EB">
              <w:rPr>
                <w:rFonts w:ascii="Poppins" w:eastAsia="Times New Roman" w:hAnsi="Poppins" w:cs="Poppins"/>
                <w:color w:val="004C6A"/>
                <w:sz w:val="24"/>
                <w:szCs w:val="24"/>
                <w:lang w:eastAsia="en-GB"/>
              </w:rPr>
              <w:t xml:space="preserve"> better meet the needs of their </w:t>
            </w:r>
            <w:r w:rsidR="00F97191">
              <w:rPr>
                <w:rFonts w:ascii="Poppins" w:eastAsia="Times New Roman" w:hAnsi="Poppins" w:cs="Poppins"/>
                <w:color w:val="004C6A"/>
                <w:sz w:val="24"/>
                <w:szCs w:val="24"/>
                <w:lang w:eastAsia="en-GB"/>
              </w:rPr>
              <w:t>service users.</w:t>
            </w:r>
          </w:p>
          <w:p w14:paraId="52F8105D" w14:textId="77777777" w:rsidR="00C43E95" w:rsidRPr="007C3FBE" w:rsidRDefault="00C43E95" w:rsidP="007C3FBE">
            <w:pPr>
              <w:spacing w:after="0" w:line="240" w:lineRule="auto"/>
              <w:ind w:left="360"/>
              <w:textAlignment w:val="baseline"/>
              <w:rPr>
                <w:rFonts w:ascii="Poppins" w:eastAsia="Times New Roman" w:hAnsi="Poppins" w:cs="Poppins"/>
                <w:color w:val="004C6A"/>
                <w:sz w:val="24"/>
                <w:szCs w:val="24"/>
                <w:lang w:eastAsia="en-GB"/>
              </w:rPr>
            </w:pPr>
          </w:p>
        </w:tc>
      </w:tr>
      <w:tr w:rsidR="00C43E95" w:rsidRPr="005D530E" w14:paraId="248A9735" w14:textId="74415962" w:rsidTr="00F07B90">
        <w:trPr>
          <w:trHeight w:val="296"/>
        </w:trPr>
        <w:tc>
          <w:tcPr>
            <w:tcW w:w="2246" w:type="dxa"/>
            <w:vMerge/>
            <w:hideMark/>
          </w:tcPr>
          <w:p w14:paraId="15C987D5" w14:textId="1BD8C316" w:rsidR="00C43E95" w:rsidRPr="005D530E" w:rsidRDefault="00C43E95" w:rsidP="003641CB">
            <w:pPr>
              <w:spacing w:after="0" w:line="240" w:lineRule="auto"/>
              <w:textAlignment w:val="baseline"/>
              <w:rPr>
                <w:rFonts w:ascii="Poppins" w:eastAsia="Times New Roman" w:hAnsi="Poppins" w:cs="Poppins"/>
                <w:sz w:val="18"/>
                <w:szCs w:val="18"/>
                <w:lang w:eastAsia="en-GB"/>
              </w:rPr>
            </w:pPr>
          </w:p>
        </w:tc>
        <w:tc>
          <w:tcPr>
            <w:tcW w:w="1715" w:type="dxa"/>
            <w:tcBorders>
              <w:top w:val="single" w:sz="6" w:space="0" w:color="auto"/>
              <w:left w:val="single" w:sz="6" w:space="0" w:color="auto"/>
              <w:bottom w:val="single" w:sz="6" w:space="0" w:color="auto"/>
              <w:right w:val="single" w:sz="6" w:space="0" w:color="auto"/>
            </w:tcBorders>
            <w:shd w:val="clear" w:color="auto" w:fill="95C11F"/>
            <w:vAlign w:val="center"/>
            <w:hideMark/>
          </w:tcPr>
          <w:p w14:paraId="37D0FB22" w14:textId="5937E869" w:rsidR="00C43E95" w:rsidRPr="005D530E" w:rsidRDefault="00C43E95" w:rsidP="42B5B7FB">
            <w:pPr>
              <w:spacing w:after="0" w:line="240" w:lineRule="auto"/>
              <w:jc w:val="center"/>
              <w:textAlignment w:val="baseline"/>
              <w:rPr>
                <w:rFonts w:ascii="Poppins" w:eastAsia="Times New Roman" w:hAnsi="Poppins" w:cs="Poppins"/>
                <w:b/>
                <w:bCs/>
                <w:color w:val="FFFFFF" w:themeColor="background1"/>
                <w:sz w:val="24"/>
                <w:szCs w:val="24"/>
                <w:lang w:eastAsia="en-GB"/>
              </w:rPr>
            </w:pPr>
            <w:r>
              <w:rPr>
                <w:rFonts w:ascii="Poppins" w:eastAsia="Times New Roman" w:hAnsi="Poppins" w:cs="Poppins"/>
                <w:b/>
                <w:bCs/>
                <w:color w:val="FFFFFF" w:themeColor="background1"/>
                <w:sz w:val="24"/>
                <w:szCs w:val="24"/>
                <w:lang w:eastAsia="en-GB"/>
              </w:rPr>
              <w:t>Involvement of people:</w:t>
            </w:r>
          </w:p>
          <w:p w14:paraId="2F903541" w14:textId="6D5E4522" w:rsidR="00C43E95" w:rsidRDefault="1CF05112" w:rsidP="42B5B7FB">
            <w:pPr>
              <w:spacing w:after="0" w:line="240" w:lineRule="auto"/>
              <w:jc w:val="center"/>
              <w:textAlignment w:val="baseline"/>
              <w:rPr>
                <w:rFonts w:ascii="Poppins" w:eastAsia="Times New Roman" w:hAnsi="Poppins" w:cs="Poppins"/>
                <w:b/>
                <w:bCs/>
                <w:color w:val="FFFFFF" w:themeColor="background1"/>
                <w:sz w:val="24"/>
                <w:szCs w:val="24"/>
                <w:lang w:eastAsia="en-GB"/>
              </w:rPr>
            </w:pPr>
            <w:r w:rsidRPr="002F129A">
              <w:rPr>
                <w:rFonts w:ascii="Poppins" w:eastAsia="Times New Roman" w:hAnsi="Poppins" w:cs="Poppins"/>
                <w:b/>
                <w:bCs/>
                <w:color w:val="FFFFFF" w:themeColor="background1"/>
                <w:sz w:val="24"/>
                <w:szCs w:val="24"/>
                <w:lang w:eastAsia="en-GB"/>
              </w:rPr>
              <w:t>Listening,</w:t>
            </w:r>
            <w:r w:rsidRPr="4CB41D68">
              <w:rPr>
                <w:rFonts w:ascii="Poppins" w:eastAsia="Times New Roman" w:hAnsi="Poppins" w:cs="Poppins"/>
                <w:b/>
                <w:bCs/>
                <w:color w:val="FFFFFF" w:themeColor="background1"/>
                <w:sz w:val="24"/>
                <w:szCs w:val="24"/>
                <w:lang w:eastAsia="en-GB"/>
              </w:rPr>
              <w:t xml:space="preserve"> f</w:t>
            </w:r>
            <w:r w:rsidR="00C43E95" w:rsidRPr="4CB41D68">
              <w:rPr>
                <w:rFonts w:ascii="Poppins" w:eastAsia="Times New Roman" w:hAnsi="Poppins" w:cs="Poppins"/>
                <w:b/>
                <w:bCs/>
                <w:color w:val="FFFFFF" w:themeColor="background1"/>
                <w:sz w:val="24"/>
                <w:szCs w:val="24"/>
                <w:lang w:eastAsia="en-GB"/>
              </w:rPr>
              <w:t>eedback, complaints,</w:t>
            </w:r>
          </w:p>
          <w:p w14:paraId="3DF33BDA" w14:textId="030F1F4B" w:rsidR="00C43E95" w:rsidRPr="005D530E" w:rsidRDefault="00C43E95" w:rsidP="00FC7349">
            <w:pPr>
              <w:spacing w:after="0" w:line="240" w:lineRule="auto"/>
              <w:jc w:val="center"/>
              <w:textAlignment w:val="baseline"/>
              <w:rPr>
                <w:rFonts w:ascii="Poppins" w:eastAsia="Times New Roman" w:hAnsi="Poppins" w:cs="Poppins"/>
                <w:b/>
                <w:bCs/>
                <w:color w:val="FFFFFF" w:themeColor="background1"/>
                <w:sz w:val="18"/>
                <w:szCs w:val="18"/>
                <w:lang w:eastAsia="en-GB"/>
              </w:rPr>
            </w:pPr>
            <w:r w:rsidRPr="005D530E">
              <w:rPr>
                <w:rFonts w:ascii="Poppins" w:eastAsia="Times New Roman" w:hAnsi="Poppins" w:cs="Poppins"/>
                <w:b/>
                <w:bCs/>
                <w:color w:val="FFFFFF" w:themeColor="background1"/>
                <w:sz w:val="24"/>
                <w:szCs w:val="24"/>
                <w:lang w:eastAsia="en-GB"/>
              </w:rPr>
              <w:t> </w:t>
            </w:r>
          </w:p>
        </w:tc>
        <w:tc>
          <w:tcPr>
            <w:tcW w:w="17719" w:type="dxa"/>
            <w:tcBorders>
              <w:top w:val="single" w:sz="6" w:space="0" w:color="auto"/>
              <w:left w:val="single" w:sz="6" w:space="0" w:color="auto"/>
              <w:bottom w:val="single" w:sz="6" w:space="0" w:color="auto"/>
              <w:right w:val="single" w:sz="4" w:space="0" w:color="auto"/>
            </w:tcBorders>
            <w:shd w:val="clear" w:color="auto" w:fill="FFFFFF" w:themeFill="background1"/>
            <w:hideMark/>
          </w:tcPr>
          <w:p w14:paraId="0BB1F0AB" w14:textId="77777777" w:rsidR="00937DBD" w:rsidRDefault="00937DBD" w:rsidP="00FC43FF">
            <w:pPr>
              <w:spacing w:after="0" w:line="240" w:lineRule="auto"/>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 xml:space="preserve">Involving local people in decision making and the design and changes of services will also ensure that services truly serve their local communities. Encouraging </w:t>
            </w:r>
            <w:r w:rsidR="00BD5B03">
              <w:rPr>
                <w:rFonts w:ascii="Poppins" w:eastAsia="Times New Roman" w:hAnsi="Poppins" w:cs="Poppins"/>
                <w:color w:val="004C6A"/>
                <w:sz w:val="24"/>
                <w:szCs w:val="24"/>
                <w:lang w:eastAsia="en-GB"/>
              </w:rPr>
              <w:t>system partners to consider and involve local people through co-design, co-production and enabling</w:t>
            </w:r>
            <w:r w:rsidR="00DA693A">
              <w:rPr>
                <w:rFonts w:ascii="Poppins" w:eastAsia="Times New Roman" w:hAnsi="Poppins" w:cs="Poppins"/>
                <w:color w:val="004C6A"/>
                <w:sz w:val="24"/>
                <w:szCs w:val="24"/>
                <w:lang w:eastAsia="en-GB"/>
              </w:rPr>
              <w:t xml:space="preserve"> and empowering</w:t>
            </w:r>
            <w:r w:rsidR="00BD5B03">
              <w:rPr>
                <w:rFonts w:ascii="Poppins" w:eastAsia="Times New Roman" w:hAnsi="Poppins" w:cs="Poppins"/>
                <w:color w:val="004C6A"/>
                <w:sz w:val="24"/>
                <w:szCs w:val="24"/>
                <w:lang w:eastAsia="en-GB"/>
              </w:rPr>
              <w:t xml:space="preserve"> local</w:t>
            </w:r>
            <w:r w:rsidR="00DA693A">
              <w:rPr>
                <w:rFonts w:ascii="Poppins" w:eastAsia="Times New Roman" w:hAnsi="Poppins" w:cs="Poppins"/>
                <w:color w:val="004C6A"/>
                <w:sz w:val="24"/>
                <w:szCs w:val="24"/>
                <w:lang w:eastAsia="en-GB"/>
              </w:rPr>
              <w:t xml:space="preserve"> people and communities to lead on </w:t>
            </w:r>
            <w:r w:rsidR="000A5994">
              <w:rPr>
                <w:rFonts w:ascii="Poppins" w:eastAsia="Times New Roman" w:hAnsi="Poppins" w:cs="Poppins"/>
                <w:color w:val="004C6A"/>
                <w:sz w:val="24"/>
                <w:szCs w:val="24"/>
                <w:lang w:eastAsia="en-GB"/>
              </w:rPr>
              <w:t>making improvements themselves will</w:t>
            </w:r>
            <w:r w:rsidR="003B1642">
              <w:rPr>
                <w:rFonts w:ascii="Poppins" w:eastAsia="Times New Roman" w:hAnsi="Poppins" w:cs="Poppins"/>
                <w:color w:val="004C6A"/>
                <w:sz w:val="24"/>
                <w:szCs w:val="24"/>
                <w:lang w:eastAsia="en-GB"/>
              </w:rPr>
              <w:t xml:space="preserve"> benefit the communities and people of Surrey.</w:t>
            </w:r>
            <w:r w:rsidR="00DA693A">
              <w:rPr>
                <w:rFonts w:ascii="Poppins" w:eastAsia="Times New Roman" w:hAnsi="Poppins" w:cs="Poppins"/>
                <w:color w:val="004C6A"/>
                <w:sz w:val="24"/>
                <w:szCs w:val="24"/>
                <w:lang w:eastAsia="en-GB"/>
              </w:rPr>
              <w:t xml:space="preserve"> </w:t>
            </w:r>
          </w:p>
          <w:p w14:paraId="453EB6A4" w14:textId="77777777" w:rsidR="003B1642" w:rsidRDefault="003B1642" w:rsidP="00FC43FF">
            <w:pPr>
              <w:spacing w:after="0" w:line="240" w:lineRule="auto"/>
              <w:textAlignment w:val="baseline"/>
              <w:rPr>
                <w:rFonts w:ascii="Poppins" w:eastAsia="Times New Roman" w:hAnsi="Poppins" w:cs="Poppins"/>
                <w:color w:val="004C6A"/>
                <w:sz w:val="24"/>
                <w:szCs w:val="24"/>
                <w:lang w:eastAsia="en-GB"/>
              </w:rPr>
            </w:pPr>
          </w:p>
          <w:p w14:paraId="11F19755" w14:textId="77777777" w:rsidR="003B1642" w:rsidRDefault="003B1642" w:rsidP="003B1642">
            <w:pPr>
              <w:spacing w:after="0" w:line="240" w:lineRule="auto"/>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Responding to feedback and complaints of services and encouraging our local system leaders to learn from experiences will help to drive improvements.</w:t>
            </w:r>
          </w:p>
          <w:p w14:paraId="316F57AF" w14:textId="77777777" w:rsidR="0006188A" w:rsidRDefault="0006188A" w:rsidP="003B1642">
            <w:pPr>
              <w:spacing w:after="0" w:line="240" w:lineRule="auto"/>
              <w:textAlignment w:val="baseline"/>
              <w:rPr>
                <w:rFonts w:ascii="Poppins" w:eastAsia="Times New Roman" w:hAnsi="Poppins" w:cs="Poppins"/>
                <w:color w:val="004C6A"/>
                <w:sz w:val="24"/>
                <w:szCs w:val="24"/>
                <w:lang w:eastAsia="en-GB"/>
              </w:rPr>
            </w:pPr>
          </w:p>
          <w:p w14:paraId="2EA20E64" w14:textId="2000F986" w:rsidR="0006188A" w:rsidRDefault="0006188A" w:rsidP="003B1642">
            <w:pPr>
              <w:spacing w:after="0" w:line="240" w:lineRule="auto"/>
              <w:textAlignment w:val="baseline"/>
              <w:rPr>
                <w:rFonts w:ascii="Poppins" w:eastAsia="Times New Roman" w:hAnsi="Poppins" w:cs="Poppins"/>
                <w:color w:val="004C6A"/>
                <w:sz w:val="24"/>
                <w:szCs w:val="24"/>
                <w:lang w:eastAsia="en-GB"/>
              </w:rPr>
            </w:pPr>
            <w:r w:rsidRPr="0006188A">
              <w:rPr>
                <w:rFonts w:ascii="Poppins" w:eastAsia="Times New Roman" w:hAnsi="Poppins" w:cs="Poppins"/>
                <w:color w:val="004C6A"/>
                <w:sz w:val="24"/>
                <w:szCs w:val="24"/>
                <w:lang w:eastAsia="en-GB"/>
              </w:rPr>
              <w:t xml:space="preserve">Within our core contract we are currently committed to attend </w:t>
            </w:r>
            <w:proofErr w:type="gramStart"/>
            <w:r w:rsidRPr="0006188A">
              <w:rPr>
                <w:rFonts w:ascii="Poppins" w:eastAsia="Times New Roman" w:hAnsi="Poppins" w:cs="Poppins"/>
                <w:color w:val="004C6A"/>
                <w:sz w:val="24"/>
                <w:szCs w:val="24"/>
                <w:lang w:eastAsia="en-GB"/>
              </w:rPr>
              <w:t>a number of</w:t>
            </w:r>
            <w:proofErr w:type="gramEnd"/>
            <w:r w:rsidRPr="0006188A">
              <w:rPr>
                <w:rFonts w:ascii="Poppins" w:eastAsia="Times New Roman" w:hAnsi="Poppins" w:cs="Poppins"/>
                <w:color w:val="004C6A"/>
                <w:sz w:val="24"/>
                <w:szCs w:val="24"/>
                <w:lang w:eastAsia="en-GB"/>
              </w:rPr>
              <w:t xml:space="preserve"> boards and committees </w:t>
            </w:r>
            <w:r w:rsidR="00B11F47">
              <w:rPr>
                <w:rFonts w:ascii="Poppins" w:eastAsia="Times New Roman" w:hAnsi="Poppins" w:cs="Poppins"/>
                <w:color w:val="004C6A"/>
                <w:sz w:val="24"/>
                <w:szCs w:val="24"/>
                <w:lang w:eastAsia="en-GB"/>
              </w:rPr>
              <w:t xml:space="preserve">in order to ensure that the voice of local people is considered in the development of services. </w:t>
            </w:r>
            <w:r w:rsidR="000E556A">
              <w:rPr>
                <w:rFonts w:ascii="Poppins" w:eastAsia="Times New Roman" w:hAnsi="Poppins" w:cs="Poppins"/>
                <w:color w:val="004C6A"/>
                <w:sz w:val="24"/>
                <w:szCs w:val="24"/>
                <w:lang w:eastAsia="en-GB"/>
              </w:rPr>
              <w:t>Our commitment to each of these will be reviewed in terms of the effectiveness of our contribution and the relation to our priority areas.</w:t>
            </w:r>
          </w:p>
          <w:p w14:paraId="46EA45F5" w14:textId="446A835F" w:rsidR="003B1642" w:rsidRPr="00FC43FF" w:rsidRDefault="003B1642" w:rsidP="00FC43FF">
            <w:pPr>
              <w:spacing w:after="0" w:line="240" w:lineRule="auto"/>
              <w:textAlignment w:val="baseline"/>
              <w:rPr>
                <w:rFonts w:ascii="Poppins" w:eastAsia="Times New Roman" w:hAnsi="Poppins" w:cs="Poppins"/>
                <w:color w:val="004C6A"/>
                <w:sz w:val="24"/>
                <w:szCs w:val="24"/>
                <w:lang w:eastAsia="en-GB"/>
              </w:rPr>
            </w:pPr>
          </w:p>
        </w:tc>
        <w:tc>
          <w:tcPr>
            <w:tcW w:w="7104" w:type="dxa"/>
            <w:tcBorders>
              <w:top w:val="single" w:sz="4" w:space="0" w:color="auto"/>
              <w:left w:val="single" w:sz="4" w:space="0" w:color="auto"/>
              <w:bottom w:val="single" w:sz="4" w:space="0" w:color="auto"/>
              <w:right w:val="single" w:sz="4" w:space="0" w:color="auto"/>
            </w:tcBorders>
            <w:shd w:val="clear" w:color="auto" w:fill="FFFFFF" w:themeFill="background1"/>
          </w:tcPr>
          <w:p w14:paraId="70A2B424" w14:textId="77777777" w:rsidR="00C43E95" w:rsidRDefault="00AA631C" w:rsidP="007C3FBE">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H</w:t>
            </w:r>
            <w:r w:rsidR="00C232F1" w:rsidRPr="00C232F1">
              <w:rPr>
                <w:rFonts w:ascii="Poppins" w:eastAsia="Times New Roman" w:hAnsi="Poppins" w:cs="Poppins"/>
                <w:color w:val="004C6A"/>
                <w:sz w:val="24"/>
                <w:szCs w:val="24"/>
                <w:lang w:eastAsia="en-GB"/>
              </w:rPr>
              <w:t>igh-quality service user feedback is an expected/required element in all service decision</w:t>
            </w:r>
            <w:r>
              <w:rPr>
                <w:rFonts w:ascii="Poppins" w:eastAsia="Times New Roman" w:hAnsi="Poppins" w:cs="Poppins"/>
                <w:color w:val="004C6A"/>
                <w:sz w:val="24"/>
                <w:szCs w:val="24"/>
                <w:lang w:eastAsia="en-GB"/>
              </w:rPr>
              <w:t xml:space="preserve"> </w:t>
            </w:r>
            <w:r w:rsidR="00C232F1" w:rsidRPr="00C232F1">
              <w:rPr>
                <w:rFonts w:ascii="Poppins" w:eastAsia="Times New Roman" w:hAnsi="Poppins" w:cs="Poppins"/>
                <w:color w:val="004C6A"/>
                <w:sz w:val="24"/>
                <w:szCs w:val="24"/>
                <w:lang w:eastAsia="en-GB"/>
              </w:rPr>
              <w:t>making</w:t>
            </w:r>
            <w:r>
              <w:rPr>
                <w:rFonts w:ascii="Poppins" w:eastAsia="Times New Roman" w:hAnsi="Poppins" w:cs="Poppins"/>
                <w:color w:val="004C6A"/>
                <w:sz w:val="24"/>
                <w:szCs w:val="24"/>
                <w:lang w:eastAsia="en-GB"/>
              </w:rPr>
              <w:t>.</w:t>
            </w:r>
          </w:p>
          <w:p w14:paraId="064DC225" w14:textId="77777777" w:rsidR="00AA631C" w:rsidRDefault="00AA631C" w:rsidP="007C3FBE">
            <w:pPr>
              <w:spacing w:after="0" w:line="240" w:lineRule="auto"/>
              <w:ind w:left="360"/>
              <w:textAlignment w:val="baseline"/>
              <w:rPr>
                <w:rFonts w:ascii="Poppins" w:eastAsia="Times New Roman" w:hAnsi="Poppins" w:cs="Poppins"/>
                <w:color w:val="004C6A"/>
                <w:sz w:val="24"/>
                <w:szCs w:val="24"/>
                <w:lang w:eastAsia="en-GB"/>
              </w:rPr>
            </w:pPr>
          </w:p>
          <w:p w14:paraId="0A0EFAFE" w14:textId="3258F996" w:rsidR="00AA631C" w:rsidRPr="007C3FBE" w:rsidRDefault="0049250D" w:rsidP="007C3FBE">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We will encourage e</w:t>
            </w:r>
            <w:r w:rsidRPr="0049250D">
              <w:rPr>
                <w:rFonts w:ascii="Poppins" w:eastAsia="Times New Roman" w:hAnsi="Poppins" w:cs="Poppins"/>
                <w:color w:val="004C6A"/>
                <w:sz w:val="24"/>
                <w:szCs w:val="24"/>
                <w:lang w:eastAsia="en-GB"/>
              </w:rPr>
              <w:t>quity of listening - all service user groups are 'heard' in ways that work for them</w:t>
            </w:r>
          </w:p>
        </w:tc>
      </w:tr>
      <w:tr w:rsidR="00C43E95" w:rsidRPr="005D530E" w14:paraId="225CA88F" w14:textId="77777777" w:rsidTr="00F07B90">
        <w:trPr>
          <w:trHeight w:val="930"/>
        </w:trPr>
        <w:tc>
          <w:tcPr>
            <w:tcW w:w="2246" w:type="dxa"/>
            <w:vMerge/>
          </w:tcPr>
          <w:p w14:paraId="487D47F9" w14:textId="77777777" w:rsidR="00C43E95" w:rsidRPr="005D530E" w:rsidRDefault="00C43E95" w:rsidP="009B0E08">
            <w:pPr>
              <w:spacing w:after="0" w:line="240" w:lineRule="auto"/>
              <w:textAlignment w:val="baseline"/>
              <w:rPr>
                <w:rFonts w:ascii="Poppins" w:eastAsia="Times New Roman" w:hAnsi="Poppins" w:cs="Poppins"/>
                <w:sz w:val="18"/>
                <w:szCs w:val="18"/>
                <w:lang w:eastAsia="en-GB"/>
              </w:rPr>
            </w:pPr>
          </w:p>
        </w:tc>
        <w:tc>
          <w:tcPr>
            <w:tcW w:w="1715" w:type="dxa"/>
            <w:tcBorders>
              <w:top w:val="single" w:sz="6" w:space="0" w:color="auto"/>
              <w:left w:val="single" w:sz="6" w:space="0" w:color="auto"/>
              <w:bottom w:val="single" w:sz="6" w:space="0" w:color="auto"/>
              <w:right w:val="single" w:sz="6" w:space="0" w:color="auto"/>
            </w:tcBorders>
            <w:shd w:val="clear" w:color="auto" w:fill="95C11F"/>
            <w:vAlign w:val="center"/>
          </w:tcPr>
          <w:p w14:paraId="093F020A" w14:textId="2FBBC5A8" w:rsidR="00C43E95" w:rsidRPr="005D530E" w:rsidRDefault="00C43E95" w:rsidP="009B0E08">
            <w:pPr>
              <w:spacing w:after="0" w:line="240" w:lineRule="auto"/>
              <w:jc w:val="center"/>
              <w:textAlignment w:val="baseline"/>
              <w:rPr>
                <w:rFonts w:ascii="Poppins" w:eastAsia="Times New Roman" w:hAnsi="Poppins" w:cs="Poppins"/>
                <w:b/>
                <w:bCs/>
                <w:color w:val="FFFFFF" w:themeColor="background1"/>
                <w:sz w:val="24"/>
                <w:szCs w:val="24"/>
                <w:lang w:eastAsia="en-GB"/>
              </w:rPr>
            </w:pPr>
            <w:r w:rsidRPr="005D530E">
              <w:rPr>
                <w:rFonts w:ascii="Poppins" w:eastAsia="Times New Roman" w:hAnsi="Poppins" w:cs="Poppins"/>
                <w:b/>
                <w:bCs/>
                <w:color w:val="FFFFFF" w:themeColor="background1"/>
                <w:sz w:val="24"/>
                <w:szCs w:val="24"/>
                <w:lang w:eastAsia="en-GB"/>
              </w:rPr>
              <w:t>Amplify Voice in VCSE </w:t>
            </w:r>
          </w:p>
        </w:tc>
        <w:tc>
          <w:tcPr>
            <w:tcW w:w="17719" w:type="dxa"/>
            <w:tcBorders>
              <w:top w:val="single" w:sz="6" w:space="0" w:color="auto"/>
              <w:left w:val="single" w:sz="6" w:space="0" w:color="auto"/>
              <w:bottom w:val="single" w:sz="6" w:space="0" w:color="auto"/>
              <w:right w:val="single" w:sz="4" w:space="0" w:color="auto"/>
            </w:tcBorders>
            <w:shd w:val="clear" w:color="auto" w:fill="FFFFFF" w:themeFill="background1"/>
          </w:tcPr>
          <w:p w14:paraId="513DE04C" w14:textId="1AB5F57A" w:rsidR="00C43E95" w:rsidRPr="00F12F71" w:rsidRDefault="00C43E95" w:rsidP="00F12F71">
            <w:pPr>
              <w:spacing w:after="0" w:line="240" w:lineRule="auto"/>
              <w:textAlignment w:val="baseline"/>
              <w:rPr>
                <w:rFonts w:ascii="Poppins" w:eastAsia="Times New Roman" w:hAnsi="Poppins" w:cs="Poppins"/>
                <w:color w:val="004C6A"/>
                <w:sz w:val="24"/>
                <w:szCs w:val="24"/>
                <w:lang w:eastAsia="en-GB"/>
              </w:rPr>
            </w:pPr>
            <w:r w:rsidRPr="00F12F71">
              <w:rPr>
                <w:rFonts w:ascii="Poppins" w:eastAsia="Times New Roman" w:hAnsi="Poppins" w:cs="Poppins"/>
                <w:color w:val="004C6A"/>
                <w:sz w:val="24"/>
                <w:szCs w:val="24"/>
                <w:lang w:eastAsia="en-GB"/>
              </w:rPr>
              <w:t xml:space="preserve">We are increasingly seeing the benefit </w:t>
            </w:r>
            <w:r>
              <w:rPr>
                <w:rFonts w:ascii="Poppins" w:eastAsia="Times New Roman" w:hAnsi="Poppins" w:cs="Poppins"/>
                <w:color w:val="004C6A"/>
                <w:sz w:val="24"/>
                <w:szCs w:val="24"/>
                <w:lang w:eastAsia="en-GB"/>
              </w:rPr>
              <w:t>of</w:t>
            </w:r>
            <w:r w:rsidRPr="00F12F71">
              <w:rPr>
                <w:rFonts w:ascii="Poppins" w:eastAsia="Times New Roman" w:hAnsi="Poppins" w:cs="Poppins"/>
                <w:color w:val="004C6A"/>
                <w:sz w:val="24"/>
                <w:szCs w:val="24"/>
                <w:lang w:eastAsia="en-GB"/>
              </w:rPr>
              <w:t xml:space="preserve"> working collaboratively with VCSE partners and the importance of connecting more organisation</w:t>
            </w:r>
            <w:r>
              <w:rPr>
                <w:rFonts w:ascii="Poppins" w:eastAsia="Times New Roman" w:hAnsi="Poppins" w:cs="Poppins"/>
                <w:color w:val="004C6A"/>
                <w:sz w:val="24"/>
                <w:szCs w:val="24"/>
                <w:lang w:eastAsia="en-GB"/>
              </w:rPr>
              <w:t>s</w:t>
            </w:r>
            <w:r w:rsidRPr="00F12F71">
              <w:rPr>
                <w:rFonts w:ascii="Poppins" w:eastAsia="Times New Roman" w:hAnsi="Poppins" w:cs="Poppins"/>
                <w:color w:val="004C6A"/>
                <w:sz w:val="24"/>
                <w:szCs w:val="24"/>
                <w:lang w:eastAsia="en-GB"/>
              </w:rPr>
              <w:t xml:space="preserve"> to decision-making</w:t>
            </w:r>
            <w:r>
              <w:rPr>
                <w:rFonts w:ascii="Poppins" w:eastAsia="Times New Roman" w:hAnsi="Poppins" w:cs="Poppins"/>
                <w:color w:val="004C6A"/>
                <w:sz w:val="24"/>
                <w:szCs w:val="24"/>
                <w:lang w:eastAsia="en-GB"/>
              </w:rPr>
              <w:t xml:space="preserve"> </w:t>
            </w:r>
            <w:proofErr w:type="gramStart"/>
            <w:r>
              <w:rPr>
                <w:rFonts w:ascii="Poppins" w:eastAsia="Times New Roman" w:hAnsi="Poppins" w:cs="Poppins"/>
                <w:color w:val="004C6A"/>
                <w:sz w:val="24"/>
                <w:szCs w:val="24"/>
                <w:lang w:eastAsia="en-GB"/>
              </w:rPr>
              <w:t>in order to</w:t>
            </w:r>
            <w:proofErr w:type="gramEnd"/>
            <w:r>
              <w:rPr>
                <w:rFonts w:ascii="Poppins" w:eastAsia="Times New Roman" w:hAnsi="Poppins" w:cs="Poppins"/>
                <w:color w:val="004C6A"/>
                <w:sz w:val="24"/>
                <w:szCs w:val="24"/>
                <w:lang w:eastAsia="en-GB"/>
              </w:rPr>
              <w:t xml:space="preserve"> make improvements to the wellbeing of Surrey residents</w:t>
            </w:r>
            <w:r w:rsidRPr="00F12F71">
              <w:rPr>
                <w:rFonts w:ascii="Poppins" w:eastAsia="Times New Roman" w:hAnsi="Poppins" w:cs="Poppins"/>
                <w:color w:val="004C6A"/>
                <w:sz w:val="24"/>
                <w:szCs w:val="24"/>
                <w:lang w:eastAsia="en-GB"/>
              </w:rPr>
              <w:t>. We are committed to coordinating the Voice group and being an instrumental part of the success of the VCSE Alliance.</w:t>
            </w:r>
          </w:p>
        </w:tc>
        <w:tc>
          <w:tcPr>
            <w:tcW w:w="7104" w:type="dxa"/>
            <w:tcBorders>
              <w:top w:val="single" w:sz="4" w:space="0" w:color="auto"/>
              <w:left w:val="single" w:sz="4" w:space="0" w:color="auto"/>
              <w:bottom w:val="single" w:sz="4" w:space="0" w:color="auto"/>
              <w:right w:val="single" w:sz="4" w:space="0" w:color="auto"/>
            </w:tcBorders>
            <w:shd w:val="clear" w:color="auto" w:fill="FFFFFF" w:themeFill="background1"/>
          </w:tcPr>
          <w:p w14:paraId="4DD292F5" w14:textId="2C6F74D3" w:rsidR="00C43E95" w:rsidRPr="007C3FBE" w:rsidRDefault="009B0716" w:rsidP="009B0E08">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The Voice group will work effectively and collaboratively towards shared aims and confidently describe the impact this has had.</w:t>
            </w:r>
          </w:p>
        </w:tc>
      </w:tr>
      <w:tr w:rsidR="00C43E95" w:rsidRPr="005D530E" w14:paraId="010602C7" w14:textId="02590B16" w:rsidTr="00F07B90">
        <w:trPr>
          <w:trHeight w:val="296"/>
        </w:trPr>
        <w:tc>
          <w:tcPr>
            <w:tcW w:w="2246" w:type="dxa"/>
            <w:vMerge/>
            <w:hideMark/>
          </w:tcPr>
          <w:p w14:paraId="1EEBB727" w14:textId="32DC40A9" w:rsidR="00C43E95" w:rsidRPr="005D530E" w:rsidRDefault="00C43E95" w:rsidP="009B0E08">
            <w:pPr>
              <w:spacing w:after="0" w:line="240" w:lineRule="auto"/>
              <w:textAlignment w:val="baseline"/>
              <w:rPr>
                <w:rFonts w:ascii="Poppins" w:eastAsia="Times New Roman" w:hAnsi="Poppins" w:cs="Poppins"/>
                <w:sz w:val="18"/>
                <w:szCs w:val="18"/>
                <w:lang w:eastAsia="en-GB"/>
              </w:rPr>
            </w:pPr>
          </w:p>
        </w:tc>
        <w:tc>
          <w:tcPr>
            <w:tcW w:w="1715" w:type="dxa"/>
            <w:tcBorders>
              <w:top w:val="single" w:sz="6" w:space="0" w:color="auto"/>
              <w:left w:val="single" w:sz="6" w:space="0" w:color="auto"/>
              <w:bottom w:val="single" w:sz="6" w:space="0" w:color="auto"/>
              <w:right w:val="single" w:sz="6" w:space="0" w:color="auto"/>
            </w:tcBorders>
            <w:shd w:val="clear" w:color="auto" w:fill="95C11F"/>
            <w:vAlign w:val="center"/>
          </w:tcPr>
          <w:p w14:paraId="53DE10AF" w14:textId="4F68B8F6" w:rsidR="00C43E95" w:rsidRPr="0052079C" w:rsidRDefault="00C43E95" w:rsidP="009B0E08">
            <w:pPr>
              <w:spacing w:after="0" w:line="240" w:lineRule="auto"/>
              <w:jc w:val="center"/>
              <w:textAlignment w:val="baseline"/>
              <w:rPr>
                <w:rFonts w:ascii="Poppins" w:eastAsia="Times New Roman" w:hAnsi="Poppins" w:cs="Poppins"/>
                <w:b/>
                <w:bCs/>
                <w:color w:val="FFFFFF" w:themeColor="background1"/>
                <w:sz w:val="24"/>
                <w:szCs w:val="24"/>
                <w:lang w:eastAsia="en-GB"/>
              </w:rPr>
            </w:pPr>
            <w:r>
              <w:rPr>
                <w:rFonts w:ascii="Poppins" w:eastAsia="Times New Roman" w:hAnsi="Poppins" w:cs="Poppins"/>
                <w:b/>
                <w:bCs/>
                <w:color w:val="FFFFFF" w:themeColor="background1"/>
                <w:sz w:val="24"/>
                <w:szCs w:val="24"/>
                <w:lang w:eastAsia="en-GB"/>
              </w:rPr>
              <w:t>Assessing long term impact</w:t>
            </w:r>
          </w:p>
        </w:tc>
        <w:tc>
          <w:tcPr>
            <w:tcW w:w="17719" w:type="dxa"/>
            <w:tcBorders>
              <w:top w:val="single" w:sz="6" w:space="0" w:color="auto"/>
              <w:left w:val="single" w:sz="6" w:space="0" w:color="auto"/>
              <w:bottom w:val="single" w:sz="6" w:space="0" w:color="auto"/>
              <w:right w:val="single" w:sz="4" w:space="0" w:color="auto"/>
            </w:tcBorders>
            <w:shd w:val="clear" w:color="auto" w:fill="FFFFFF" w:themeFill="background1"/>
          </w:tcPr>
          <w:p w14:paraId="0D06E09A" w14:textId="7297A9F2" w:rsidR="00C43E95" w:rsidRPr="00545597" w:rsidRDefault="00C43E95" w:rsidP="00545597">
            <w:pPr>
              <w:spacing w:after="0" w:line="240" w:lineRule="auto"/>
              <w:textAlignment w:val="baseline"/>
              <w:rPr>
                <w:rFonts w:ascii="Poppins" w:eastAsia="Times New Roman" w:hAnsi="Poppins" w:cs="Poppins"/>
                <w:color w:val="004C6A"/>
                <w:sz w:val="24"/>
                <w:szCs w:val="24"/>
                <w:lang w:eastAsia="en-GB"/>
              </w:rPr>
            </w:pPr>
            <w:proofErr w:type="gramStart"/>
            <w:r>
              <w:rPr>
                <w:rFonts w:ascii="Poppins" w:eastAsia="Times New Roman" w:hAnsi="Poppins" w:cs="Poppins"/>
                <w:color w:val="004C6A"/>
                <w:sz w:val="24"/>
                <w:szCs w:val="24"/>
                <w:lang w:eastAsia="en-GB"/>
              </w:rPr>
              <w:t>I</w:t>
            </w:r>
            <w:r w:rsidRPr="00545597">
              <w:rPr>
                <w:rFonts w:ascii="Poppins" w:eastAsia="Times New Roman" w:hAnsi="Poppins" w:cs="Poppins"/>
                <w:color w:val="004C6A"/>
                <w:sz w:val="24"/>
                <w:szCs w:val="24"/>
                <w:lang w:eastAsia="en-GB"/>
              </w:rPr>
              <w:t>n order to</w:t>
            </w:r>
            <w:proofErr w:type="gramEnd"/>
            <w:r w:rsidRPr="00545597">
              <w:rPr>
                <w:rFonts w:ascii="Poppins" w:eastAsia="Times New Roman" w:hAnsi="Poppins" w:cs="Poppins"/>
                <w:color w:val="004C6A"/>
                <w:sz w:val="24"/>
                <w:szCs w:val="24"/>
                <w:lang w:eastAsia="en-GB"/>
              </w:rPr>
              <w:t xml:space="preserve"> assess the impact that our work has had</w:t>
            </w:r>
            <w:r>
              <w:rPr>
                <w:rFonts w:ascii="Poppins" w:eastAsia="Times New Roman" w:hAnsi="Poppins" w:cs="Poppins"/>
                <w:color w:val="004C6A"/>
                <w:sz w:val="24"/>
                <w:szCs w:val="24"/>
                <w:lang w:eastAsia="en-GB"/>
              </w:rPr>
              <w:t>,</w:t>
            </w:r>
            <w:r w:rsidRPr="00545597">
              <w:rPr>
                <w:rFonts w:ascii="Poppins" w:eastAsia="Times New Roman" w:hAnsi="Poppins" w:cs="Poppins"/>
                <w:color w:val="004C6A"/>
                <w:sz w:val="24"/>
                <w:szCs w:val="24"/>
                <w:lang w:eastAsia="en-GB"/>
              </w:rPr>
              <w:t xml:space="preserve"> </w:t>
            </w:r>
            <w:r>
              <w:rPr>
                <w:rFonts w:ascii="Poppins" w:eastAsia="Times New Roman" w:hAnsi="Poppins" w:cs="Poppins"/>
                <w:color w:val="004C6A"/>
                <w:sz w:val="24"/>
                <w:szCs w:val="24"/>
                <w:lang w:eastAsia="en-GB"/>
              </w:rPr>
              <w:t>w</w:t>
            </w:r>
            <w:r w:rsidRPr="00545597">
              <w:rPr>
                <w:rFonts w:ascii="Poppins" w:eastAsia="Times New Roman" w:hAnsi="Poppins" w:cs="Poppins"/>
                <w:color w:val="004C6A"/>
                <w:sz w:val="24"/>
                <w:szCs w:val="24"/>
                <w:lang w:eastAsia="en-GB"/>
              </w:rPr>
              <w:t xml:space="preserve">e will commit to following up on the recommendations that we have made in the following project areas or encourage a revisit to the recommendations. This will not involve further </w:t>
            </w:r>
            <w:proofErr w:type="gramStart"/>
            <w:r w:rsidRPr="00545597">
              <w:rPr>
                <w:rFonts w:ascii="Poppins" w:eastAsia="Times New Roman" w:hAnsi="Poppins" w:cs="Poppins"/>
                <w:color w:val="004C6A"/>
                <w:sz w:val="24"/>
                <w:szCs w:val="24"/>
                <w:lang w:eastAsia="en-GB"/>
              </w:rPr>
              <w:t>research,</w:t>
            </w:r>
            <w:proofErr w:type="gramEnd"/>
            <w:r w:rsidRPr="00545597">
              <w:rPr>
                <w:rFonts w:ascii="Poppins" w:eastAsia="Times New Roman" w:hAnsi="Poppins" w:cs="Poppins"/>
                <w:color w:val="004C6A"/>
                <w:sz w:val="24"/>
                <w:szCs w:val="24"/>
                <w:lang w:eastAsia="en-GB"/>
              </w:rPr>
              <w:t xml:space="preserve"> however</w:t>
            </w:r>
            <w:r>
              <w:rPr>
                <w:rFonts w:ascii="Poppins" w:eastAsia="Times New Roman" w:hAnsi="Poppins" w:cs="Poppins"/>
                <w:color w:val="004C6A"/>
                <w:sz w:val="24"/>
                <w:szCs w:val="24"/>
                <w:lang w:eastAsia="en-GB"/>
              </w:rPr>
              <w:t>,</w:t>
            </w:r>
            <w:r w:rsidRPr="00545597">
              <w:rPr>
                <w:rFonts w:ascii="Poppins" w:eastAsia="Times New Roman" w:hAnsi="Poppins" w:cs="Poppins"/>
                <w:color w:val="004C6A"/>
                <w:sz w:val="24"/>
                <w:szCs w:val="24"/>
                <w:lang w:eastAsia="en-GB"/>
              </w:rPr>
              <w:t xml:space="preserve"> we may </w:t>
            </w:r>
            <w:r>
              <w:rPr>
                <w:rFonts w:ascii="Poppins" w:eastAsia="Times New Roman" w:hAnsi="Poppins" w:cs="Poppins"/>
                <w:color w:val="004C6A"/>
                <w:sz w:val="24"/>
                <w:szCs w:val="24"/>
                <w:lang w:eastAsia="en-GB"/>
              </w:rPr>
              <w:t>draw on</w:t>
            </w:r>
            <w:r w:rsidRPr="00545597">
              <w:rPr>
                <w:rFonts w:ascii="Poppins" w:eastAsia="Times New Roman" w:hAnsi="Poppins" w:cs="Poppins"/>
                <w:color w:val="004C6A"/>
                <w:sz w:val="24"/>
                <w:szCs w:val="24"/>
                <w:lang w:eastAsia="en-GB"/>
              </w:rPr>
              <w:t xml:space="preserve"> our more recent insight to help assess progress from Surrey residents perspective:</w:t>
            </w:r>
          </w:p>
          <w:p w14:paraId="352143C2" w14:textId="0A26CD11" w:rsidR="00C43E95" w:rsidRPr="00545597" w:rsidRDefault="00C43E95" w:rsidP="00545597">
            <w:pPr>
              <w:pStyle w:val="ListParagraph"/>
              <w:numPr>
                <w:ilvl w:val="0"/>
                <w:numId w:val="15"/>
              </w:numPr>
              <w:spacing w:after="0" w:line="240" w:lineRule="auto"/>
              <w:textAlignment w:val="baseline"/>
              <w:rPr>
                <w:rFonts w:ascii="Poppins" w:eastAsia="Times New Roman" w:hAnsi="Poppins" w:cs="Poppins"/>
                <w:color w:val="004C6A"/>
                <w:sz w:val="24"/>
                <w:szCs w:val="24"/>
                <w:lang w:eastAsia="en-GB"/>
              </w:rPr>
            </w:pPr>
            <w:r w:rsidRPr="00545597">
              <w:rPr>
                <w:rFonts w:ascii="Poppins" w:eastAsia="Times New Roman" w:hAnsi="Poppins" w:cs="Poppins"/>
                <w:color w:val="004C6A"/>
                <w:sz w:val="24"/>
                <w:szCs w:val="24"/>
                <w:lang w:eastAsia="en-GB"/>
              </w:rPr>
              <w:t>Carers experience of hospital discharge</w:t>
            </w:r>
          </w:p>
          <w:p w14:paraId="446969E0" w14:textId="5C0E1B6D" w:rsidR="00C43E95" w:rsidRPr="00545597" w:rsidRDefault="00C43E95" w:rsidP="00545597">
            <w:pPr>
              <w:pStyle w:val="ListParagraph"/>
              <w:numPr>
                <w:ilvl w:val="0"/>
                <w:numId w:val="15"/>
              </w:numPr>
              <w:spacing w:after="0" w:line="240" w:lineRule="auto"/>
              <w:textAlignment w:val="baseline"/>
              <w:rPr>
                <w:rFonts w:ascii="Poppins" w:eastAsia="Times New Roman" w:hAnsi="Poppins" w:cs="Poppins"/>
                <w:color w:val="004C6A"/>
                <w:sz w:val="24"/>
                <w:szCs w:val="24"/>
                <w:lang w:eastAsia="en-GB"/>
              </w:rPr>
            </w:pPr>
            <w:r w:rsidRPr="00545597">
              <w:rPr>
                <w:rFonts w:ascii="Poppins" w:eastAsia="Times New Roman" w:hAnsi="Poppins" w:cs="Poppins"/>
                <w:color w:val="004C6A"/>
                <w:sz w:val="24"/>
                <w:szCs w:val="24"/>
                <w:lang w:eastAsia="en-GB"/>
              </w:rPr>
              <w:t xml:space="preserve">Support in the early years following a dementia </w:t>
            </w:r>
            <w:proofErr w:type="gramStart"/>
            <w:r w:rsidRPr="00545597">
              <w:rPr>
                <w:rFonts w:ascii="Poppins" w:eastAsia="Times New Roman" w:hAnsi="Poppins" w:cs="Poppins"/>
                <w:color w:val="004C6A"/>
                <w:sz w:val="24"/>
                <w:szCs w:val="24"/>
                <w:lang w:eastAsia="en-GB"/>
              </w:rPr>
              <w:t>diagnosis</w:t>
            </w:r>
            <w:proofErr w:type="gramEnd"/>
          </w:p>
          <w:p w14:paraId="1F6363FC" w14:textId="0B6CA320" w:rsidR="00C43E95" w:rsidRPr="00545597" w:rsidRDefault="00C43E95" w:rsidP="00545597">
            <w:pPr>
              <w:pStyle w:val="ListParagraph"/>
              <w:numPr>
                <w:ilvl w:val="0"/>
                <w:numId w:val="15"/>
              </w:numPr>
              <w:spacing w:after="0" w:line="240" w:lineRule="auto"/>
              <w:textAlignment w:val="baseline"/>
              <w:rPr>
                <w:rFonts w:ascii="Poppins" w:eastAsia="Times New Roman" w:hAnsi="Poppins" w:cs="Poppins"/>
                <w:color w:val="004C6A"/>
                <w:sz w:val="24"/>
                <w:szCs w:val="24"/>
                <w:lang w:eastAsia="en-GB"/>
              </w:rPr>
            </w:pPr>
            <w:r w:rsidRPr="00545597">
              <w:rPr>
                <w:rFonts w:ascii="Poppins" w:eastAsia="Times New Roman" w:hAnsi="Poppins" w:cs="Poppins"/>
                <w:color w:val="004C6A"/>
                <w:sz w:val="24"/>
                <w:szCs w:val="24"/>
                <w:lang w:eastAsia="en-GB"/>
              </w:rPr>
              <w:t>Waiting Well</w:t>
            </w:r>
          </w:p>
          <w:p w14:paraId="7E4442BC" w14:textId="39DF9A88" w:rsidR="00C43E95" w:rsidRPr="00545597" w:rsidRDefault="00C43E95" w:rsidP="00545597">
            <w:pPr>
              <w:pStyle w:val="ListParagraph"/>
              <w:numPr>
                <w:ilvl w:val="0"/>
                <w:numId w:val="15"/>
              </w:numPr>
              <w:spacing w:after="0" w:line="240" w:lineRule="auto"/>
              <w:textAlignment w:val="baseline"/>
              <w:rPr>
                <w:rFonts w:ascii="Poppins" w:eastAsia="Times New Roman" w:hAnsi="Poppins" w:cs="Poppins"/>
                <w:color w:val="004C6A"/>
                <w:sz w:val="24"/>
                <w:szCs w:val="24"/>
                <w:lang w:eastAsia="en-GB"/>
              </w:rPr>
            </w:pPr>
            <w:r w:rsidRPr="00545597">
              <w:rPr>
                <w:rFonts w:ascii="Poppins" w:eastAsia="Times New Roman" w:hAnsi="Poppins" w:cs="Poppins"/>
                <w:color w:val="004C6A"/>
                <w:sz w:val="24"/>
                <w:szCs w:val="24"/>
                <w:lang w:eastAsia="en-GB"/>
              </w:rPr>
              <w:t>Wound care</w:t>
            </w:r>
          </w:p>
          <w:p w14:paraId="5029BBB0" w14:textId="7F9CAE42" w:rsidR="00C43E95" w:rsidRPr="00545597" w:rsidRDefault="00C43E95" w:rsidP="00545597">
            <w:pPr>
              <w:pStyle w:val="ListParagraph"/>
              <w:numPr>
                <w:ilvl w:val="0"/>
                <w:numId w:val="15"/>
              </w:numPr>
              <w:spacing w:after="0" w:line="240" w:lineRule="auto"/>
              <w:textAlignment w:val="baseline"/>
              <w:rPr>
                <w:rFonts w:ascii="Poppins" w:eastAsia="Times New Roman" w:hAnsi="Poppins" w:cs="Poppins"/>
                <w:color w:val="004C6A"/>
                <w:sz w:val="24"/>
                <w:szCs w:val="24"/>
                <w:lang w:eastAsia="en-GB"/>
              </w:rPr>
            </w:pPr>
            <w:r w:rsidRPr="00545597">
              <w:rPr>
                <w:rFonts w:ascii="Poppins" w:eastAsia="Times New Roman" w:hAnsi="Poppins" w:cs="Poppins"/>
                <w:color w:val="004C6A"/>
                <w:sz w:val="24"/>
                <w:szCs w:val="24"/>
                <w:lang w:eastAsia="en-GB"/>
              </w:rPr>
              <w:t>Pregnancy loss</w:t>
            </w:r>
          </w:p>
          <w:p w14:paraId="55FF518D" w14:textId="194573C2" w:rsidR="00C43E95" w:rsidRPr="00545597" w:rsidRDefault="00C43E95" w:rsidP="00545597">
            <w:pPr>
              <w:spacing w:after="0" w:line="240" w:lineRule="auto"/>
              <w:textAlignment w:val="baseline"/>
              <w:rPr>
                <w:rFonts w:ascii="Poppins" w:eastAsia="Times New Roman" w:hAnsi="Poppins" w:cs="Poppins"/>
                <w:color w:val="004C6A"/>
                <w:sz w:val="24"/>
                <w:szCs w:val="24"/>
                <w:lang w:eastAsia="en-GB"/>
              </w:rPr>
            </w:pPr>
            <w:r w:rsidRPr="00545597">
              <w:rPr>
                <w:rFonts w:ascii="Poppins" w:eastAsia="Times New Roman" w:hAnsi="Poppins" w:cs="Poppins"/>
                <w:color w:val="004C6A"/>
                <w:sz w:val="24"/>
                <w:szCs w:val="24"/>
                <w:lang w:eastAsia="en-GB"/>
              </w:rPr>
              <w:t>We will also follow up on progress of recommendations 12-18mths after more recent projects:</w:t>
            </w:r>
          </w:p>
          <w:p w14:paraId="16FEBED5" w14:textId="6B7D79EE" w:rsidR="00C43E95" w:rsidRPr="00545597" w:rsidRDefault="00C43E95" w:rsidP="00545597">
            <w:pPr>
              <w:pStyle w:val="ListParagraph"/>
              <w:numPr>
                <w:ilvl w:val="0"/>
                <w:numId w:val="16"/>
              </w:numPr>
              <w:spacing w:after="0" w:line="240" w:lineRule="auto"/>
              <w:textAlignment w:val="baseline"/>
              <w:rPr>
                <w:rFonts w:ascii="Poppins" w:eastAsia="Times New Roman" w:hAnsi="Poppins" w:cs="Poppins"/>
                <w:color w:val="004C6A"/>
                <w:sz w:val="24"/>
                <w:szCs w:val="24"/>
                <w:lang w:eastAsia="en-GB"/>
              </w:rPr>
            </w:pPr>
            <w:r w:rsidRPr="00545597">
              <w:rPr>
                <w:rFonts w:ascii="Poppins" w:eastAsia="Times New Roman" w:hAnsi="Poppins" w:cs="Poppins"/>
                <w:color w:val="004C6A"/>
                <w:sz w:val="24"/>
                <w:szCs w:val="24"/>
                <w:lang w:eastAsia="en-GB"/>
              </w:rPr>
              <w:t>Learning from complaints</w:t>
            </w:r>
          </w:p>
          <w:p w14:paraId="7FEC9C56" w14:textId="26B21ED1" w:rsidR="00C43E95" w:rsidRPr="00545597" w:rsidRDefault="00C43E95" w:rsidP="00545597">
            <w:pPr>
              <w:pStyle w:val="ListParagraph"/>
              <w:numPr>
                <w:ilvl w:val="0"/>
                <w:numId w:val="16"/>
              </w:numPr>
              <w:spacing w:after="0" w:line="240" w:lineRule="auto"/>
              <w:textAlignment w:val="baseline"/>
              <w:rPr>
                <w:rFonts w:ascii="Poppins" w:eastAsia="Times New Roman" w:hAnsi="Poppins" w:cs="Poppins"/>
                <w:color w:val="004C6A"/>
                <w:sz w:val="24"/>
                <w:szCs w:val="24"/>
                <w:lang w:eastAsia="en-GB"/>
              </w:rPr>
            </w:pPr>
            <w:r w:rsidRPr="00545597">
              <w:rPr>
                <w:rFonts w:ascii="Poppins" w:eastAsia="Times New Roman" w:hAnsi="Poppins" w:cs="Poppins"/>
                <w:color w:val="004C6A"/>
                <w:sz w:val="24"/>
                <w:szCs w:val="24"/>
                <w:lang w:eastAsia="en-GB"/>
              </w:rPr>
              <w:t>The importance of an ND diagnosis</w:t>
            </w:r>
          </w:p>
          <w:p w14:paraId="4C60C055" w14:textId="32C171A4" w:rsidR="00C43E95" w:rsidRDefault="00C43E95" w:rsidP="00545597">
            <w:pPr>
              <w:pStyle w:val="ListParagraph"/>
              <w:numPr>
                <w:ilvl w:val="0"/>
                <w:numId w:val="16"/>
              </w:numPr>
              <w:spacing w:after="0" w:line="240" w:lineRule="auto"/>
              <w:textAlignment w:val="baseline"/>
              <w:rPr>
                <w:rFonts w:ascii="Poppins" w:eastAsia="Times New Roman" w:hAnsi="Poppins" w:cs="Poppins"/>
                <w:color w:val="004C6A"/>
                <w:sz w:val="24"/>
                <w:szCs w:val="24"/>
                <w:lang w:eastAsia="en-GB"/>
              </w:rPr>
            </w:pPr>
            <w:r w:rsidRPr="00545597">
              <w:rPr>
                <w:rFonts w:ascii="Poppins" w:eastAsia="Times New Roman" w:hAnsi="Poppins" w:cs="Poppins"/>
                <w:color w:val="004C6A"/>
                <w:sz w:val="24"/>
                <w:szCs w:val="24"/>
                <w:lang w:eastAsia="en-GB"/>
              </w:rPr>
              <w:t>2022-23 Care Homes Enter &amp; Views</w:t>
            </w:r>
          </w:p>
          <w:p w14:paraId="4F86C89B" w14:textId="77777777" w:rsidR="00C43E95" w:rsidRDefault="00C43E95" w:rsidP="00077438">
            <w:pPr>
              <w:spacing w:after="0" w:line="240" w:lineRule="auto"/>
              <w:textAlignment w:val="baseline"/>
              <w:rPr>
                <w:rFonts w:ascii="Poppins" w:eastAsia="Times New Roman" w:hAnsi="Poppins" w:cs="Poppins"/>
                <w:color w:val="004C6A"/>
                <w:sz w:val="24"/>
                <w:szCs w:val="24"/>
                <w:lang w:eastAsia="en-GB"/>
              </w:rPr>
            </w:pPr>
          </w:p>
          <w:p w14:paraId="3A5C5184" w14:textId="451F1669" w:rsidR="00C43E95" w:rsidRPr="00077438" w:rsidRDefault="00C43E95" w:rsidP="00077438">
            <w:pPr>
              <w:spacing w:after="0" w:line="240" w:lineRule="auto"/>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As Healthwatch celebrates 10 years, we will look back on the impact some of our more significant projects have also had.</w:t>
            </w:r>
          </w:p>
          <w:p w14:paraId="0932E84A" w14:textId="5BE32C24" w:rsidR="00C43E95" w:rsidRPr="005027A5" w:rsidRDefault="00C43E95" w:rsidP="0048131A">
            <w:pPr>
              <w:pStyle w:val="ListParagraph"/>
              <w:spacing w:after="0" w:line="240" w:lineRule="auto"/>
              <w:textAlignment w:val="baseline"/>
              <w:rPr>
                <w:rFonts w:ascii="Poppins" w:eastAsia="Times New Roman" w:hAnsi="Poppins" w:cs="Poppins"/>
                <w:color w:val="004C6A"/>
                <w:sz w:val="24"/>
                <w:szCs w:val="24"/>
                <w:lang w:eastAsia="en-GB"/>
              </w:rPr>
            </w:pPr>
          </w:p>
        </w:tc>
        <w:tc>
          <w:tcPr>
            <w:tcW w:w="7104" w:type="dxa"/>
            <w:tcBorders>
              <w:top w:val="single" w:sz="4" w:space="0" w:color="auto"/>
              <w:left w:val="single" w:sz="4" w:space="0" w:color="auto"/>
              <w:bottom w:val="single" w:sz="4" w:space="0" w:color="auto"/>
              <w:right w:val="single" w:sz="4" w:space="0" w:color="auto"/>
            </w:tcBorders>
            <w:shd w:val="clear" w:color="auto" w:fill="FFFFFF" w:themeFill="background1"/>
          </w:tcPr>
          <w:p w14:paraId="2D0AF195" w14:textId="6E509E01" w:rsidR="00C43E95" w:rsidRPr="007C3FBE" w:rsidRDefault="009B0716" w:rsidP="009B0E08">
            <w:pPr>
              <w:spacing w:after="0" w:line="240" w:lineRule="auto"/>
              <w:ind w:left="360"/>
              <w:textAlignment w:val="baseline"/>
              <w:rPr>
                <w:rFonts w:ascii="Poppins" w:eastAsia="Times New Roman" w:hAnsi="Poppins" w:cs="Poppins"/>
                <w:color w:val="004C6A"/>
                <w:sz w:val="24"/>
                <w:szCs w:val="24"/>
                <w:lang w:eastAsia="en-GB"/>
              </w:rPr>
            </w:pPr>
            <w:r>
              <w:rPr>
                <w:rFonts w:ascii="Poppins" w:eastAsia="Times New Roman" w:hAnsi="Poppins" w:cs="Poppins"/>
                <w:color w:val="004C6A"/>
                <w:sz w:val="24"/>
                <w:szCs w:val="24"/>
                <w:lang w:eastAsia="en-GB"/>
              </w:rPr>
              <w:t xml:space="preserve">We will demonstrate </w:t>
            </w:r>
            <w:r w:rsidR="00FA54C9">
              <w:rPr>
                <w:rFonts w:ascii="Poppins" w:eastAsia="Times New Roman" w:hAnsi="Poppins" w:cs="Poppins"/>
                <w:color w:val="004C6A"/>
                <w:sz w:val="24"/>
                <w:szCs w:val="24"/>
                <w:lang w:eastAsia="en-GB"/>
              </w:rPr>
              <w:t xml:space="preserve">the impact that individual projects have had on services </w:t>
            </w:r>
            <w:r w:rsidR="00831E16">
              <w:rPr>
                <w:rFonts w:ascii="Poppins" w:eastAsia="Times New Roman" w:hAnsi="Poppins" w:cs="Poppins"/>
                <w:color w:val="004C6A"/>
                <w:sz w:val="24"/>
                <w:szCs w:val="24"/>
                <w:lang w:eastAsia="en-GB"/>
              </w:rPr>
              <w:t xml:space="preserve">as well as the importance of </w:t>
            </w:r>
            <w:r w:rsidR="00F258A2">
              <w:rPr>
                <w:rFonts w:ascii="Poppins" w:eastAsia="Times New Roman" w:hAnsi="Poppins" w:cs="Poppins"/>
                <w:color w:val="004C6A"/>
                <w:sz w:val="24"/>
                <w:szCs w:val="24"/>
                <w:lang w:eastAsia="en-GB"/>
              </w:rPr>
              <w:t>listening to those with lived experiences of health and care services.</w:t>
            </w:r>
          </w:p>
        </w:tc>
      </w:tr>
    </w:tbl>
    <w:p w14:paraId="635F49D7" w14:textId="59A0A208" w:rsidR="004E7DF9" w:rsidRDefault="004E7DF9">
      <w:pPr>
        <w:rPr>
          <w:rFonts w:ascii="Poppins" w:hAnsi="Poppins" w:cs="Poppins"/>
        </w:rPr>
      </w:pPr>
    </w:p>
    <w:p w14:paraId="427F3AC3" w14:textId="77777777" w:rsidR="00B804F8" w:rsidRPr="005D530E" w:rsidRDefault="00B804F8">
      <w:pPr>
        <w:rPr>
          <w:rFonts w:ascii="Poppins" w:hAnsi="Poppins" w:cs="Poppins"/>
        </w:rPr>
      </w:pPr>
    </w:p>
    <w:p w14:paraId="16E8FEBA" w14:textId="77777777" w:rsidR="00EF3BCE" w:rsidRPr="005D530E" w:rsidRDefault="00EF3BCE" w:rsidP="00EF3BCE">
      <w:pPr>
        <w:rPr>
          <w:rFonts w:ascii="Poppins" w:hAnsi="Poppins" w:cs="Poppins"/>
        </w:rPr>
      </w:pPr>
    </w:p>
    <w:p w14:paraId="57CB98CD" w14:textId="77777777" w:rsidR="00F5555B" w:rsidRPr="005D530E" w:rsidRDefault="00F5555B">
      <w:pPr>
        <w:rPr>
          <w:rFonts w:ascii="Poppins" w:hAnsi="Poppins" w:cs="Poppins"/>
        </w:rPr>
      </w:pPr>
    </w:p>
    <w:sectPr w:rsidR="00F5555B" w:rsidRPr="005D530E" w:rsidSect="00C4605D">
      <w:headerReference w:type="default" r:id="rId10"/>
      <w:pgSz w:w="31680" w:h="238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D264" w14:textId="77777777" w:rsidR="00E962AE" w:rsidRDefault="00E962AE" w:rsidP="00333D3B">
      <w:pPr>
        <w:spacing w:after="0" w:line="240" w:lineRule="auto"/>
      </w:pPr>
      <w:r>
        <w:separator/>
      </w:r>
    </w:p>
  </w:endnote>
  <w:endnote w:type="continuationSeparator" w:id="0">
    <w:p w14:paraId="1FCE8624" w14:textId="77777777" w:rsidR="00E962AE" w:rsidRDefault="00E962AE" w:rsidP="00333D3B">
      <w:pPr>
        <w:spacing w:after="0" w:line="240" w:lineRule="auto"/>
      </w:pPr>
      <w:r>
        <w:continuationSeparator/>
      </w:r>
    </w:p>
  </w:endnote>
  <w:endnote w:type="continuationNotice" w:id="1">
    <w:p w14:paraId="117BAC29" w14:textId="77777777" w:rsidR="00E962AE" w:rsidRDefault="00E96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DD2D" w14:textId="77777777" w:rsidR="00E962AE" w:rsidRDefault="00E962AE" w:rsidP="00333D3B">
      <w:pPr>
        <w:spacing w:after="0" w:line="240" w:lineRule="auto"/>
      </w:pPr>
      <w:r>
        <w:separator/>
      </w:r>
    </w:p>
  </w:footnote>
  <w:footnote w:type="continuationSeparator" w:id="0">
    <w:p w14:paraId="4B055F8E" w14:textId="77777777" w:rsidR="00E962AE" w:rsidRDefault="00E962AE" w:rsidP="00333D3B">
      <w:pPr>
        <w:spacing w:after="0" w:line="240" w:lineRule="auto"/>
      </w:pPr>
      <w:r>
        <w:continuationSeparator/>
      </w:r>
    </w:p>
  </w:footnote>
  <w:footnote w:type="continuationNotice" w:id="1">
    <w:p w14:paraId="4496145C" w14:textId="77777777" w:rsidR="00E962AE" w:rsidRDefault="00E962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D499" w14:textId="7E2533A6" w:rsidR="00333D3B" w:rsidRDefault="00333D3B">
    <w:pPr>
      <w:pStyle w:val="Header"/>
    </w:pPr>
    <w:r>
      <w:rPr>
        <w:noProof/>
      </w:rPr>
      <w:drawing>
        <wp:anchor distT="0" distB="0" distL="114300" distR="114300" simplePos="0" relativeHeight="251658240" behindDoc="1" locked="0" layoutInCell="1" allowOverlap="1" wp14:anchorId="743B68B4" wp14:editId="2C196D17">
          <wp:simplePos x="0" y="0"/>
          <wp:positionH relativeFrom="column">
            <wp:posOffset>16268700</wp:posOffset>
          </wp:positionH>
          <wp:positionV relativeFrom="paragraph">
            <wp:posOffset>-153670</wp:posOffset>
          </wp:positionV>
          <wp:extent cx="1654629" cy="414631"/>
          <wp:effectExtent l="0" t="0" r="0" b="5080"/>
          <wp:wrapTight wrapText="bothSides">
            <wp:wrapPolygon edited="0">
              <wp:start x="0" y="0"/>
              <wp:lineTo x="0" y="10933"/>
              <wp:lineTo x="5721" y="16896"/>
              <wp:lineTo x="19403" y="20871"/>
              <wp:lineTo x="20895" y="20871"/>
              <wp:lineTo x="21144" y="16896"/>
              <wp:lineTo x="21144" y="3975"/>
              <wp:lineTo x="20149" y="0"/>
              <wp:lineTo x="0" y="0"/>
            </wp:wrapPolygon>
          </wp:wrapTight>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54629" cy="414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D00"/>
    <w:multiLevelType w:val="hybridMultilevel"/>
    <w:tmpl w:val="954E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C5002"/>
    <w:multiLevelType w:val="hybridMultilevel"/>
    <w:tmpl w:val="6EE4A2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303632"/>
    <w:multiLevelType w:val="hybridMultilevel"/>
    <w:tmpl w:val="BE3EC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F7A27"/>
    <w:multiLevelType w:val="hybridMultilevel"/>
    <w:tmpl w:val="6EE4A2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926B52"/>
    <w:multiLevelType w:val="hybridMultilevel"/>
    <w:tmpl w:val="D2D60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B87E88"/>
    <w:multiLevelType w:val="hybridMultilevel"/>
    <w:tmpl w:val="E976FF0E"/>
    <w:lvl w:ilvl="0" w:tplc="3A24E2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F66E98"/>
    <w:multiLevelType w:val="hybridMultilevel"/>
    <w:tmpl w:val="38383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67088"/>
    <w:multiLevelType w:val="hybridMultilevel"/>
    <w:tmpl w:val="DEA0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B74C5A"/>
    <w:multiLevelType w:val="hybridMultilevel"/>
    <w:tmpl w:val="A888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F0846"/>
    <w:multiLevelType w:val="hybridMultilevel"/>
    <w:tmpl w:val="1D56C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C202B7"/>
    <w:multiLevelType w:val="hybridMultilevel"/>
    <w:tmpl w:val="C6543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5D41B9"/>
    <w:multiLevelType w:val="hybridMultilevel"/>
    <w:tmpl w:val="307ED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FC7603"/>
    <w:multiLevelType w:val="hybridMultilevel"/>
    <w:tmpl w:val="A212F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1E5DC2"/>
    <w:multiLevelType w:val="hybridMultilevel"/>
    <w:tmpl w:val="6EE4A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73A5C"/>
    <w:multiLevelType w:val="hybridMultilevel"/>
    <w:tmpl w:val="2C5888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DB43DA"/>
    <w:multiLevelType w:val="hybridMultilevel"/>
    <w:tmpl w:val="A162B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6963201">
    <w:abstractNumId w:val="6"/>
  </w:num>
  <w:num w:numId="2" w16cid:durableId="1293293698">
    <w:abstractNumId w:val="13"/>
  </w:num>
  <w:num w:numId="3" w16cid:durableId="1344239982">
    <w:abstractNumId w:val="10"/>
  </w:num>
  <w:num w:numId="4" w16cid:durableId="1758550827">
    <w:abstractNumId w:val="12"/>
  </w:num>
  <w:num w:numId="5" w16cid:durableId="246888672">
    <w:abstractNumId w:val="7"/>
  </w:num>
  <w:num w:numId="6" w16cid:durableId="658576892">
    <w:abstractNumId w:val="2"/>
  </w:num>
  <w:num w:numId="7" w16cid:durableId="117913328">
    <w:abstractNumId w:val="11"/>
  </w:num>
  <w:num w:numId="8" w16cid:durableId="1822185675">
    <w:abstractNumId w:val="5"/>
  </w:num>
  <w:num w:numId="9" w16cid:durableId="1681851833">
    <w:abstractNumId w:val="9"/>
  </w:num>
  <w:num w:numId="10" w16cid:durableId="2029984834">
    <w:abstractNumId w:val="3"/>
  </w:num>
  <w:num w:numId="11" w16cid:durableId="839082718">
    <w:abstractNumId w:val="1"/>
  </w:num>
  <w:num w:numId="12" w16cid:durableId="132870028">
    <w:abstractNumId w:val="4"/>
  </w:num>
  <w:num w:numId="13" w16cid:durableId="1866945394">
    <w:abstractNumId w:val="0"/>
  </w:num>
  <w:num w:numId="14" w16cid:durableId="482820762">
    <w:abstractNumId w:val="8"/>
  </w:num>
  <w:num w:numId="15" w16cid:durableId="759915569">
    <w:abstractNumId w:val="14"/>
  </w:num>
  <w:num w:numId="16" w16cid:durableId="19477318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CB"/>
    <w:rsid w:val="000076AD"/>
    <w:rsid w:val="00011119"/>
    <w:rsid w:val="000163FE"/>
    <w:rsid w:val="00017AB9"/>
    <w:rsid w:val="000228FF"/>
    <w:rsid w:val="0002630B"/>
    <w:rsid w:val="00032C58"/>
    <w:rsid w:val="000422C4"/>
    <w:rsid w:val="0004405D"/>
    <w:rsid w:val="00060BA6"/>
    <w:rsid w:val="0006188A"/>
    <w:rsid w:val="00066460"/>
    <w:rsid w:val="000724DA"/>
    <w:rsid w:val="00073DF2"/>
    <w:rsid w:val="00077438"/>
    <w:rsid w:val="0008063B"/>
    <w:rsid w:val="0009526A"/>
    <w:rsid w:val="000A5994"/>
    <w:rsid w:val="000A6158"/>
    <w:rsid w:val="000B57AE"/>
    <w:rsid w:val="000B6541"/>
    <w:rsid w:val="000B79DE"/>
    <w:rsid w:val="000C28CE"/>
    <w:rsid w:val="000C7C76"/>
    <w:rsid w:val="000D43C5"/>
    <w:rsid w:val="000D5A20"/>
    <w:rsid w:val="000E2BAA"/>
    <w:rsid w:val="000E556A"/>
    <w:rsid w:val="000F3AEE"/>
    <w:rsid w:val="001276A9"/>
    <w:rsid w:val="00130703"/>
    <w:rsid w:val="00135AFA"/>
    <w:rsid w:val="00140F8A"/>
    <w:rsid w:val="00150C2A"/>
    <w:rsid w:val="00152F7C"/>
    <w:rsid w:val="00166AD9"/>
    <w:rsid w:val="00171F11"/>
    <w:rsid w:val="0017285E"/>
    <w:rsid w:val="0017591E"/>
    <w:rsid w:val="00176801"/>
    <w:rsid w:val="00181EB2"/>
    <w:rsid w:val="001B73FD"/>
    <w:rsid w:val="001C2B8C"/>
    <w:rsid w:val="001C5EB9"/>
    <w:rsid w:val="001C65CF"/>
    <w:rsid w:val="001E761C"/>
    <w:rsid w:val="001E7BF8"/>
    <w:rsid w:val="001F28A6"/>
    <w:rsid w:val="00205A9E"/>
    <w:rsid w:val="00223B03"/>
    <w:rsid w:val="0022435B"/>
    <w:rsid w:val="00224780"/>
    <w:rsid w:val="00233D0C"/>
    <w:rsid w:val="00236537"/>
    <w:rsid w:val="00261035"/>
    <w:rsid w:val="002612F8"/>
    <w:rsid w:val="00262B99"/>
    <w:rsid w:val="002749CA"/>
    <w:rsid w:val="00277139"/>
    <w:rsid w:val="00280106"/>
    <w:rsid w:val="002940FA"/>
    <w:rsid w:val="002A3581"/>
    <w:rsid w:val="002A4E95"/>
    <w:rsid w:val="002A54D1"/>
    <w:rsid w:val="002B07CD"/>
    <w:rsid w:val="002B18B5"/>
    <w:rsid w:val="002B516D"/>
    <w:rsid w:val="002D05FB"/>
    <w:rsid w:val="002E00FC"/>
    <w:rsid w:val="002E7644"/>
    <w:rsid w:val="002F129A"/>
    <w:rsid w:val="002F139D"/>
    <w:rsid w:val="00304882"/>
    <w:rsid w:val="00304C9A"/>
    <w:rsid w:val="00333D3B"/>
    <w:rsid w:val="003376FF"/>
    <w:rsid w:val="00341AB3"/>
    <w:rsid w:val="00347303"/>
    <w:rsid w:val="003558E7"/>
    <w:rsid w:val="00355DDE"/>
    <w:rsid w:val="0035796D"/>
    <w:rsid w:val="00357C7C"/>
    <w:rsid w:val="003614A0"/>
    <w:rsid w:val="003624CE"/>
    <w:rsid w:val="003641CB"/>
    <w:rsid w:val="00365327"/>
    <w:rsid w:val="003661C0"/>
    <w:rsid w:val="00370B5D"/>
    <w:rsid w:val="0038306D"/>
    <w:rsid w:val="00383CB1"/>
    <w:rsid w:val="00391A82"/>
    <w:rsid w:val="003938C6"/>
    <w:rsid w:val="00394F70"/>
    <w:rsid w:val="003A01D6"/>
    <w:rsid w:val="003B1642"/>
    <w:rsid w:val="003B19D6"/>
    <w:rsid w:val="003B21F8"/>
    <w:rsid w:val="003B46D4"/>
    <w:rsid w:val="003B599B"/>
    <w:rsid w:val="003B5BD3"/>
    <w:rsid w:val="003C2448"/>
    <w:rsid w:val="003C7097"/>
    <w:rsid w:val="003D5240"/>
    <w:rsid w:val="003E0D19"/>
    <w:rsid w:val="003F05BF"/>
    <w:rsid w:val="004027C1"/>
    <w:rsid w:val="004031C3"/>
    <w:rsid w:val="00407D10"/>
    <w:rsid w:val="004203A0"/>
    <w:rsid w:val="004357C6"/>
    <w:rsid w:val="00443581"/>
    <w:rsid w:val="0044720B"/>
    <w:rsid w:val="00453160"/>
    <w:rsid w:val="00456411"/>
    <w:rsid w:val="004631C7"/>
    <w:rsid w:val="00463FCE"/>
    <w:rsid w:val="004764AC"/>
    <w:rsid w:val="0048131A"/>
    <w:rsid w:val="0048180D"/>
    <w:rsid w:val="0049250D"/>
    <w:rsid w:val="00492A76"/>
    <w:rsid w:val="004A5640"/>
    <w:rsid w:val="004A5817"/>
    <w:rsid w:val="004C121A"/>
    <w:rsid w:val="004E6B93"/>
    <w:rsid w:val="004E6BCE"/>
    <w:rsid w:val="004E7930"/>
    <w:rsid w:val="004E7DF9"/>
    <w:rsid w:val="004F402F"/>
    <w:rsid w:val="00501639"/>
    <w:rsid w:val="005027A5"/>
    <w:rsid w:val="00502B1A"/>
    <w:rsid w:val="00503A95"/>
    <w:rsid w:val="005111CD"/>
    <w:rsid w:val="00511698"/>
    <w:rsid w:val="00511F61"/>
    <w:rsid w:val="0051426E"/>
    <w:rsid w:val="005164EC"/>
    <w:rsid w:val="0052079C"/>
    <w:rsid w:val="00530CD2"/>
    <w:rsid w:val="005311A9"/>
    <w:rsid w:val="005346D6"/>
    <w:rsid w:val="00541B77"/>
    <w:rsid w:val="00543F00"/>
    <w:rsid w:val="005441EB"/>
    <w:rsid w:val="005453A0"/>
    <w:rsid w:val="00545597"/>
    <w:rsid w:val="00547465"/>
    <w:rsid w:val="005503AC"/>
    <w:rsid w:val="0055776A"/>
    <w:rsid w:val="005645B6"/>
    <w:rsid w:val="00564AC0"/>
    <w:rsid w:val="00566322"/>
    <w:rsid w:val="00572A86"/>
    <w:rsid w:val="00574F3C"/>
    <w:rsid w:val="00586F0C"/>
    <w:rsid w:val="00597F95"/>
    <w:rsid w:val="005A191E"/>
    <w:rsid w:val="005A24CC"/>
    <w:rsid w:val="005A2F66"/>
    <w:rsid w:val="005A4C8A"/>
    <w:rsid w:val="005A7CA7"/>
    <w:rsid w:val="005B0FAF"/>
    <w:rsid w:val="005B7D63"/>
    <w:rsid w:val="005C69F3"/>
    <w:rsid w:val="005C78D9"/>
    <w:rsid w:val="005D304E"/>
    <w:rsid w:val="005D530E"/>
    <w:rsid w:val="005F0CF2"/>
    <w:rsid w:val="006013C4"/>
    <w:rsid w:val="00606A52"/>
    <w:rsid w:val="006144FF"/>
    <w:rsid w:val="00615D50"/>
    <w:rsid w:val="00635B94"/>
    <w:rsid w:val="00636D44"/>
    <w:rsid w:val="00636DC3"/>
    <w:rsid w:val="00651424"/>
    <w:rsid w:val="00652862"/>
    <w:rsid w:val="0065436A"/>
    <w:rsid w:val="006559D8"/>
    <w:rsid w:val="00667140"/>
    <w:rsid w:val="00670A40"/>
    <w:rsid w:val="00673C1F"/>
    <w:rsid w:val="006803CC"/>
    <w:rsid w:val="00680721"/>
    <w:rsid w:val="00684143"/>
    <w:rsid w:val="0069628E"/>
    <w:rsid w:val="00696B6D"/>
    <w:rsid w:val="006A2D15"/>
    <w:rsid w:val="006C4372"/>
    <w:rsid w:val="006C52EE"/>
    <w:rsid w:val="006D7851"/>
    <w:rsid w:val="006E267A"/>
    <w:rsid w:val="006F1779"/>
    <w:rsid w:val="006F5365"/>
    <w:rsid w:val="00700E8A"/>
    <w:rsid w:val="00701D58"/>
    <w:rsid w:val="00712CBE"/>
    <w:rsid w:val="0073596F"/>
    <w:rsid w:val="00740958"/>
    <w:rsid w:val="00742924"/>
    <w:rsid w:val="00744742"/>
    <w:rsid w:val="00744F4A"/>
    <w:rsid w:val="0075704F"/>
    <w:rsid w:val="00762205"/>
    <w:rsid w:val="00770E51"/>
    <w:rsid w:val="0077331E"/>
    <w:rsid w:val="00777183"/>
    <w:rsid w:val="00787B3E"/>
    <w:rsid w:val="007902DA"/>
    <w:rsid w:val="00797074"/>
    <w:rsid w:val="00797215"/>
    <w:rsid w:val="007B3185"/>
    <w:rsid w:val="007B4368"/>
    <w:rsid w:val="007B7CA5"/>
    <w:rsid w:val="007C079B"/>
    <w:rsid w:val="007C2705"/>
    <w:rsid w:val="007C3FBE"/>
    <w:rsid w:val="007D0976"/>
    <w:rsid w:val="007D1B64"/>
    <w:rsid w:val="007D7DEF"/>
    <w:rsid w:val="007E1214"/>
    <w:rsid w:val="007E6400"/>
    <w:rsid w:val="00814036"/>
    <w:rsid w:val="008239B4"/>
    <w:rsid w:val="00825B3D"/>
    <w:rsid w:val="00831863"/>
    <w:rsid w:val="00831E16"/>
    <w:rsid w:val="008337CF"/>
    <w:rsid w:val="00837BF8"/>
    <w:rsid w:val="0084039B"/>
    <w:rsid w:val="0084604C"/>
    <w:rsid w:val="0085177C"/>
    <w:rsid w:val="008623F5"/>
    <w:rsid w:val="008675D9"/>
    <w:rsid w:val="00886DA5"/>
    <w:rsid w:val="008962B9"/>
    <w:rsid w:val="008A642B"/>
    <w:rsid w:val="008B2F01"/>
    <w:rsid w:val="008C633B"/>
    <w:rsid w:val="008D5A32"/>
    <w:rsid w:val="008E3202"/>
    <w:rsid w:val="008F16CC"/>
    <w:rsid w:val="008F1E6C"/>
    <w:rsid w:val="0090526C"/>
    <w:rsid w:val="00915970"/>
    <w:rsid w:val="00921CB3"/>
    <w:rsid w:val="00933AEB"/>
    <w:rsid w:val="00937DBD"/>
    <w:rsid w:val="009412D6"/>
    <w:rsid w:val="009415E3"/>
    <w:rsid w:val="009476FB"/>
    <w:rsid w:val="009478B0"/>
    <w:rsid w:val="00955643"/>
    <w:rsid w:val="00961175"/>
    <w:rsid w:val="00984D20"/>
    <w:rsid w:val="00985D09"/>
    <w:rsid w:val="00992ECA"/>
    <w:rsid w:val="009A71E6"/>
    <w:rsid w:val="009B0716"/>
    <w:rsid w:val="009B0E08"/>
    <w:rsid w:val="009B1286"/>
    <w:rsid w:val="009B2979"/>
    <w:rsid w:val="009B2B3B"/>
    <w:rsid w:val="009C39BE"/>
    <w:rsid w:val="009C6B72"/>
    <w:rsid w:val="009D05FE"/>
    <w:rsid w:val="009D355C"/>
    <w:rsid w:val="009D5DA7"/>
    <w:rsid w:val="009D7F60"/>
    <w:rsid w:val="00A1729F"/>
    <w:rsid w:val="00A257AB"/>
    <w:rsid w:val="00A4721E"/>
    <w:rsid w:val="00A56423"/>
    <w:rsid w:val="00A75A68"/>
    <w:rsid w:val="00A853C5"/>
    <w:rsid w:val="00A934E5"/>
    <w:rsid w:val="00A93C02"/>
    <w:rsid w:val="00AA1AF2"/>
    <w:rsid w:val="00AA631C"/>
    <w:rsid w:val="00AB404F"/>
    <w:rsid w:val="00AB4BDA"/>
    <w:rsid w:val="00AB5FF1"/>
    <w:rsid w:val="00AC1894"/>
    <w:rsid w:val="00AC3774"/>
    <w:rsid w:val="00AD0456"/>
    <w:rsid w:val="00AD3421"/>
    <w:rsid w:val="00AF1C92"/>
    <w:rsid w:val="00AF6A22"/>
    <w:rsid w:val="00B06F13"/>
    <w:rsid w:val="00B108E2"/>
    <w:rsid w:val="00B11F47"/>
    <w:rsid w:val="00B24766"/>
    <w:rsid w:val="00B34B20"/>
    <w:rsid w:val="00B36E62"/>
    <w:rsid w:val="00B37B2C"/>
    <w:rsid w:val="00B43900"/>
    <w:rsid w:val="00B43F6E"/>
    <w:rsid w:val="00B443DF"/>
    <w:rsid w:val="00B53082"/>
    <w:rsid w:val="00B66F74"/>
    <w:rsid w:val="00B67E8B"/>
    <w:rsid w:val="00B744C8"/>
    <w:rsid w:val="00B804F8"/>
    <w:rsid w:val="00B82C08"/>
    <w:rsid w:val="00B836E0"/>
    <w:rsid w:val="00B860EE"/>
    <w:rsid w:val="00B87A8D"/>
    <w:rsid w:val="00B92032"/>
    <w:rsid w:val="00B92162"/>
    <w:rsid w:val="00B930FC"/>
    <w:rsid w:val="00BB08BB"/>
    <w:rsid w:val="00BB53F1"/>
    <w:rsid w:val="00BB7AE9"/>
    <w:rsid w:val="00BC4621"/>
    <w:rsid w:val="00BC51E7"/>
    <w:rsid w:val="00BC7345"/>
    <w:rsid w:val="00BD2F12"/>
    <w:rsid w:val="00BD5B03"/>
    <w:rsid w:val="00BE0295"/>
    <w:rsid w:val="00BE0F67"/>
    <w:rsid w:val="00BE32DB"/>
    <w:rsid w:val="00BE350D"/>
    <w:rsid w:val="00C0335D"/>
    <w:rsid w:val="00C116EE"/>
    <w:rsid w:val="00C232F1"/>
    <w:rsid w:val="00C30E6B"/>
    <w:rsid w:val="00C335D7"/>
    <w:rsid w:val="00C34B1C"/>
    <w:rsid w:val="00C43E95"/>
    <w:rsid w:val="00C4605D"/>
    <w:rsid w:val="00C47457"/>
    <w:rsid w:val="00C507C9"/>
    <w:rsid w:val="00C56A52"/>
    <w:rsid w:val="00C6052E"/>
    <w:rsid w:val="00C64D54"/>
    <w:rsid w:val="00C64FFA"/>
    <w:rsid w:val="00C65D58"/>
    <w:rsid w:val="00C71241"/>
    <w:rsid w:val="00C84C0F"/>
    <w:rsid w:val="00C91D2D"/>
    <w:rsid w:val="00C9508C"/>
    <w:rsid w:val="00C955A7"/>
    <w:rsid w:val="00CA3A07"/>
    <w:rsid w:val="00CC6E95"/>
    <w:rsid w:val="00CE3E6E"/>
    <w:rsid w:val="00D03A92"/>
    <w:rsid w:val="00D15DB0"/>
    <w:rsid w:val="00D23D5F"/>
    <w:rsid w:val="00D35DF5"/>
    <w:rsid w:val="00D4495B"/>
    <w:rsid w:val="00D50084"/>
    <w:rsid w:val="00D65D9B"/>
    <w:rsid w:val="00D670EB"/>
    <w:rsid w:val="00D67592"/>
    <w:rsid w:val="00DA0B80"/>
    <w:rsid w:val="00DA1512"/>
    <w:rsid w:val="00DA41C3"/>
    <w:rsid w:val="00DA693A"/>
    <w:rsid w:val="00DB259A"/>
    <w:rsid w:val="00DB27DC"/>
    <w:rsid w:val="00DD1906"/>
    <w:rsid w:val="00DE0234"/>
    <w:rsid w:val="00DE0401"/>
    <w:rsid w:val="00DF0CEF"/>
    <w:rsid w:val="00DF2447"/>
    <w:rsid w:val="00E048E1"/>
    <w:rsid w:val="00E059D6"/>
    <w:rsid w:val="00E06D85"/>
    <w:rsid w:val="00E155A9"/>
    <w:rsid w:val="00E16998"/>
    <w:rsid w:val="00E33EA8"/>
    <w:rsid w:val="00E42B8E"/>
    <w:rsid w:val="00E47D9B"/>
    <w:rsid w:val="00E57F3D"/>
    <w:rsid w:val="00E7224D"/>
    <w:rsid w:val="00E73419"/>
    <w:rsid w:val="00E770F8"/>
    <w:rsid w:val="00E962AE"/>
    <w:rsid w:val="00EA3258"/>
    <w:rsid w:val="00EB2649"/>
    <w:rsid w:val="00EC1353"/>
    <w:rsid w:val="00EC5A6C"/>
    <w:rsid w:val="00EC70DE"/>
    <w:rsid w:val="00ED0246"/>
    <w:rsid w:val="00ED3B72"/>
    <w:rsid w:val="00EE5D52"/>
    <w:rsid w:val="00EF0761"/>
    <w:rsid w:val="00EF0EFC"/>
    <w:rsid w:val="00EF1CEB"/>
    <w:rsid w:val="00EF34F1"/>
    <w:rsid w:val="00EF3BCE"/>
    <w:rsid w:val="00F017C7"/>
    <w:rsid w:val="00F01B30"/>
    <w:rsid w:val="00F07B90"/>
    <w:rsid w:val="00F12D89"/>
    <w:rsid w:val="00F12F71"/>
    <w:rsid w:val="00F13140"/>
    <w:rsid w:val="00F148E3"/>
    <w:rsid w:val="00F171BA"/>
    <w:rsid w:val="00F22C1A"/>
    <w:rsid w:val="00F258A2"/>
    <w:rsid w:val="00F32E7D"/>
    <w:rsid w:val="00F405F4"/>
    <w:rsid w:val="00F47FFC"/>
    <w:rsid w:val="00F5555B"/>
    <w:rsid w:val="00F631CD"/>
    <w:rsid w:val="00F712B3"/>
    <w:rsid w:val="00F96527"/>
    <w:rsid w:val="00F97191"/>
    <w:rsid w:val="00FA2566"/>
    <w:rsid w:val="00FA2B8C"/>
    <w:rsid w:val="00FA54C9"/>
    <w:rsid w:val="00FB4C5A"/>
    <w:rsid w:val="00FB6C8C"/>
    <w:rsid w:val="00FC0586"/>
    <w:rsid w:val="00FC2B97"/>
    <w:rsid w:val="00FC3823"/>
    <w:rsid w:val="00FC3FE3"/>
    <w:rsid w:val="00FC43FF"/>
    <w:rsid w:val="00FC7349"/>
    <w:rsid w:val="00FE2E79"/>
    <w:rsid w:val="00FF0F35"/>
    <w:rsid w:val="00FF2226"/>
    <w:rsid w:val="00FF29C8"/>
    <w:rsid w:val="00FF58DA"/>
    <w:rsid w:val="021CF635"/>
    <w:rsid w:val="02410223"/>
    <w:rsid w:val="03AECC9D"/>
    <w:rsid w:val="04AF0EA7"/>
    <w:rsid w:val="05707743"/>
    <w:rsid w:val="062E5B89"/>
    <w:rsid w:val="065BB538"/>
    <w:rsid w:val="065BE809"/>
    <w:rsid w:val="07147346"/>
    <w:rsid w:val="075F1F6B"/>
    <w:rsid w:val="0920FCE2"/>
    <w:rsid w:val="0938F64F"/>
    <w:rsid w:val="09A7F568"/>
    <w:rsid w:val="0B570715"/>
    <w:rsid w:val="0C2B3B7B"/>
    <w:rsid w:val="0CE9AEBF"/>
    <w:rsid w:val="0D2E72DD"/>
    <w:rsid w:val="0DBCF347"/>
    <w:rsid w:val="0E01EA36"/>
    <w:rsid w:val="0E04DF8E"/>
    <w:rsid w:val="0F28F44B"/>
    <w:rsid w:val="0FDBC11A"/>
    <w:rsid w:val="10F6F1E9"/>
    <w:rsid w:val="114C2566"/>
    <w:rsid w:val="11511FBE"/>
    <w:rsid w:val="12CDD375"/>
    <w:rsid w:val="13D13DA8"/>
    <w:rsid w:val="1486534C"/>
    <w:rsid w:val="14879C92"/>
    <w:rsid w:val="148F7E1B"/>
    <w:rsid w:val="172D8BC6"/>
    <w:rsid w:val="189CF416"/>
    <w:rsid w:val="197360C7"/>
    <w:rsid w:val="1A76CAFA"/>
    <w:rsid w:val="1A76FDCB"/>
    <w:rsid w:val="1AB8CC91"/>
    <w:rsid w:val="1C657322"/>
    <w:rsid w:val="1CF05112"/>
    <w:rsid w:val="1D0C1FCA"/>
    <w:rsid w:val="1D68DD55"/>
    <w:rsid w:val="1F3FBEE1"/>
    <w:rsid w:val="1F42B439"/>
    <w:rsid w:val="20493E22"/>
    <w:rsid w:val="211995C5"/>
    <w:rsid w:val="218B8A36"/>
    <w:rsid w:val="21CDCD4A"/>
    <w:rsid w:val="22904DAB"/>
    <w:rsid w:val="232EBBF0"/>
    <w:rsid w:val="244A36C7"/>
    <w:rsid w:val="251207AB"/>
    <w:rsid w:val="262BA264"/>
    <w:rsid w:val="26E8E937"/>
    <w:rsid w:val="2700E2A4"/>
    <w:rsid w:val="28C7DACB"/>
    <w:rsid w:val="29048EE1"/>
    <w:rsid w:val="29064625"/>
    <w:rsid w:val="299DFD74"/>
    <w:rsid w:val="29DAFB92"/>
    <w:rsid w:val="2B13A620"/>
    <w:rsid w:val="2C8816FE"/>
    <w:rsid w:val="2C8B0C56"/>
    <w:rsid w:val="2CFA0B6F"/>
    <w:rsid w:val="2DA830A7"/>
    <w:rsid w:val="2E3B7C2B"/>
    <w:rsid w:val="2E4B46E2"/>
    <w:rsid w:val="2F202E55"/>
    <w:rsid w:val="2F652544"/>
    <w:rsid w:val="2FC24871"/>
    <w:rsid w:val="30B9C453"/>
    <w:rsid w:val="3154003D"/>
    <w:rsid w:val="325617B9"/>
    <w:rsid w:val="32576A70"/>
    <w:rsid w:val="32F8CF2C"/>
    <w:rsid w:val="339FCB92"/>
    <w:rsid w:val="34A335C5"/>
    <w:rsid w:val="34BEA690"/>
    <w:rsid w:val="34EF81C7"/>
    <w:rsid w:val="35497CCB"/>
    <w:rsid w:val="3579A276"/>
    <w:rsid w:val="35AF04C9"/>
    <w:rsid w:val="372353AF"/>
    <w:rsid w:val="373B4D1C"/>
    <w:rsid w:val="37E19422"/>
    <w:rsid w:val="38FD2A93"/>
    <w:rsid w:val="3911FBD7"/>
    <w:rsid w:val="3B435E09"/>
    <w:rsid w:val="3CF2A721"/>
    <w:rsid w:val="3CF3AF86"/>
    <w:rsid w:val="3D0AA08E"/>
    <w:rsid w:val="3DCA9CE4"/>
    <w:rsid w:val="3E230ED6"/>
    <w:rsid w:val="3FB7BBFA"/>
    <w:rsid w:val="3FCB0625"/>
    <w:rsid w:val="40762F3E"/>
    <w:rsid w:val="4294CA40"/>
    <w:rsid w:val="42B5B7FB"/>
    <w:rsid w:val="4303C959"/>
    <w:rsid w:val="43983473"/>
    <w:rsid w:val="4422FA2E"/>
    <w:rsid w:val="446B78FB"/>
    <w:rsid w:val="446BABCC"/>
    <w:rsid w:val="456F15FF"/>
    <w:rsid w:val="45877413"/>
    <w:rsid w:val="4937950B"/>
    <w:rsid w:val="4964928D"/>
    <w:rsid w:val="4A52F8AB"/>
    <w:rsid w:val="4B836060"/>
    <w:rsid w:val="4CB41D68"/>
    <w:rsid w:val="4D5A0F1B"/>
    <w:rsid w:val="4DE3D395"/>
    <w:rsid w:val="4EA89867"/>
    <w:rsid w:val="4F8F6B9A"/>
    <w:rsid w:val="50F55DD4"/>
    <w:rsid w:val="52B73B4B"/>
    <w:rsid w:val="52B7DF09"/>
    <w:rsid w:val="52FC650B"/>
    <w:rsid w:val="53FFCF3E"/>
    <w:rsid w:val="5414A082"/>
    <w:rsid w:val="55C14713"/>
    <w:rsid w:val="56C4B146"/>
    <w:rsid w:val="579B50C8"/>
    <w:rsid w:val="58365250"/>
    <w:rsid w:val="584197CE"/>
    <w:rsid w:val="5859C40C"/>
    <w:rsid w:val="589B92D2"/>
    <w:rsid w:val="589E882A"/>
    <w:rsid w:val="59CBFA87"/>
    <w:rsid w:val="5A6065A1"/>
    <w:rsid w:val="5A7536E5"/>
    <w:rsid w:val="5A8D6323"/>
    <w:rsid w:val="5AC2F0EE"/>
    <w:rsid w:val="5B90CD56"/>
    <w:rsid w:val="5C4F409A"/>
    <w:rsid w:val="5D947993"/>
    <w:rsid w:val="5E4B6BE0"/>
    <w:rsid w:val="5E97E3C6"/>
    <w:rsid w:val="5EA4D925"/>
    <w:rsid w:val="605CB695"/>
    <w:rsid w:val="611B29D9"/>
    <w:rsid w:val="621E613B"/>
    <w:rsid w:val="6309D201"/>
    <w:rsid w:val="640D0963"/>
    <w:rsid w:val="640D3C34"/>
    <w:rsid w:val="643A39B6"/>
    <w:rsid w:val="65FBE45C"/>
    <w:rsid w:val="66EA4A7A"/>
    <w:rsid w:val="67BDC1D3"/>
    <w:rsid w:val="682FB644"/>
    <w:rsid w:val="68BF473C"/>
    <w:rsid w:val="69DC5CD5"/>
    <w:rsid w:val="6ADC096E"/>
    <w:rsid w:val="6DA4DBE1"/>
    <w:rsid w:val="6DED5396"/>
    <w:rsid w:val="6EA12F1D"/>
    <w:rsid w:val="6EA550BC"/>
    <w:rsid w:val="6EA84614"/>
    <w:rsid w:val="6ED57667"/>
    <w:rsid w:val="6F9B4B04"/>
    <w:rsid w:val="7105DA33"/>
    <w:rsid w:val="72CAF2F5"/>
    <w:rsid w:val="7666747F"/>
    <w:rsid w:val="76F4C218"/>
    <w:rsid w:val="77728E89"/>
    <w:rsid w:val="7A16C74D"/>
    <w:rsid w:val="7BF09E31"/>
    <w:rsid w:val="7C23F080"/>
    <w:rsid w:val="7CC4158A"/>
    <w:rsid w:val="7DC74CEC"/>
    <w:rsid w:val="7DC77FBD"/>
    <w:rsid w:val="7FA1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7E73"/>
  <w15:chartTrackingRefBased/>
  <w15:docId w15:val="{ACF30055-99DD-4859-848A-4D059E0F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41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641CB"/>
  </w:style>
  <w:style w:type="character" w:customStyle="1" w:styleId="eop">
    <w:name w:val="eop"/>
    <w:basedOn w:val="DefaultParagraphFont"/>
    <w:rsid w:val="003641CB"/>
  </w:style>
  <w:style w:type="paragraph" w:styleId="ListParagraph">
    <w:name w:val="List Paragraph"/>
    <w:basedOn w:val="Normal"/>
    <w:uiPriority w:val="34"/>
    <w:qFormat/>
    <w:rsid w:val="009A71E6"/>
    <w:pPr>
      <w:ind w:left="720"/>
      <w:contextualSpacing/>
    </w:pPr>
  </w:style>
  <w:style w:type="table" w:styleId="TableGrid">
    <w:name w:val="Table Grid"/>
    <w:basedOn w:val="TableNormal"/>
    <w:uiPriority w:val="39"/>
    <w:rsid w:val="00840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D3B"/>
  </w:style>
  <w:style w:type="paragraph" w:styleId="Footer">
    <w:name w:val="footer"/>
    <w:basedOn w:val="Normal"/>
    <w:link w:val="FooterChar"/>
    <w:uiPriority w:val="99"/>
    <w:unhideWhenUsed/>
    <w:rsid w:val="00333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D3B"/>
  </w:style>
  <w:style w:type="character" w:styleId="CommentReference">
    <w:name w:val="annotation reference"/>
    <w:basedOn w:val="DefaultParagraphFont"/>
    <w:uiPriority w:val="99"/>
    <w:semiHidden/>
    <w:unhideWhenUsed/>
    <w:rsid w:val="00C955A7"/>
    <w:rPr>
      <w:sz w:val="16"/>
      <w:szCs w:val="16"/>
    </w:rPr>
  </w:style>
  <w:style w:type="paragraph" w:styleId="CommentText">
    <w:name w:val="annotation text"/>
    <w:basedOn w:val="Normal"/>
    <w:link w:val="CommentTextChar"/>
    <w:uiPriority w:val="99"/>
    <w:unhideWhenUsed/>
    <w:rsid w:val="00C955A7"/>
    <w:pPr>
      <w:spacing w:line="240" w:lineRule="auto"/>
    </w:pPr>
    <w:rPr>
      <w:sz w:val="20"/>
      <w:szCs w:val="20"/>
    </w:rPr>
  </w:style>
  <w:style w:type="character" w:customStyle="1" w:styleId="CommentTextChar">
    <w:name w:val="Comment Text Char"/>
    <w:basedOn w:val="DefaultParagraphFont"/>
    <w:link w:val="CommentText"/>
    <w:uiPriority w:val="99"/>
    <w:rsid w:val="00C955A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955A7"/>
    <w:rPr>
      <w:b/>
      <w:bCs/>
    </w:rPr>
  </w:style>
  <w:style w:type="character" w:customStyle="1" w:styleId="CommentSubjectChar">
    <w:name w:val="Comment Subject Char"/>
    <w:basedOn w:val="CommentTextChar"/>
    <w:link w:val="CommentSubject"/>
    <w:uiPriority w:val="99"/>
    <w:semiHidden/>
    <w:rsid w:val="00C955A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49106">
      <w:bodyDiv w:val="1"/>
      <w:marLeft w:val="0"/>
      <w:marRight w:val="0"/>
      <w:marTop w:val="0"/>
      <w:marBottom w:val="0"/>
      <w:divBdr>
        <w:top w:val="none" w:sz="0" w:space="0" w:color="auto"/>
        <w:left w:val="none" w:sz="0" w:space="0" w:color="auto"/>
        <w:bottom w:val="none" w:sz="0" w:space="0" w:color="auto"/>
        <w:right w:val="none" w:sz="0" w:space="0" w:color="auto"/>
      </w:divBdr>
      <w:divsChild>
        <w:div w:id="16203833">
          <w:marLeft w:val="0"/>
          <w:marRight w:val="0"/>
          <w:marTop w:val="0"/>
          <w:marBottom w:val="0"/>
          <w:divBdr>
            <w:top w:val="none" w:sz="0" w:space="0" w:color="auto"/>
            <w:left w:val="none" w:sz="0" w:space="0" w:color="auto"/>
            <w:bottom w:val="none" w:sz="0" w:space="0" w:color="auto"/>
            <w:right w:val="none" w:sz="0" w:space="0" w:color="auto"/>
          </w:divBdr>
          <w:divsChild>
            <w:div w:id="1260210687">
              <w:marLeft w:val="0"/>
              <w:marRight w:val="0"/>
              <w:marTop w:val="0"/>
              <w:marBottom w:val="0"/>
              <w:divBdr>
                <w:top w:val="none" w:sz="0" w:space="0" w:color="auto"/>
                <w:left w:val="none" w:sz="0" w:space="0" w:color="auto"/>
                <w:bottom w:val="none" w:sz="0" w:space="0" w:color="auto"/>
                <w:right w:val="none" w:sz="0" w:space="0" w:color="auto"/>
              </w:divBdr>
            </w:div>
            <w:div w:id="1675065943">
              <w:marLeft w:val="0"/>
              <w:marRight w:val="0"/>
              <w:marTop w:val="0"/>
              <w:marBottom w:val="0"/>
              <w:divBdr>
                <w:top w:val="none" w:sz="0" w:space="0" w:color="auto"/>
                <w:left w:val="none" w:sz="0" w:space="0" w:color="auto"/>
                <w:bottom w:val="none" w:sz="0" w:space="0" w:color="auto"/>
                <w:right w:val="none" w:sz="0" w:space="0" w:color="auto"/>
              </w:divBdr>
            </w:div>
          </w:divsChild>
        </w:div>
        <w:div w:id="66153923">
          <w:marLeft w:val="0"/>
          <w:marRight w:val="0"/>
          <w:marTop w:val="0"/>
          <w:marBottom w:val="0"/>
          <w:divBdr>
            <w:top w:val="none" w:sz="0" w:space="0" w:color="auto"/>
            <w:left w:val="none" w:sz="0" w:space="0" w:color="auto"/>
            <w:bottom w:val="none" w:sz="0" w:space="0" w:color="auto"/>
            <w:right w:val="none" w:sz="0" w:space="0" w:color="auto"/>
          </w:divBdr>
          <w:divsChild>
            <w:div w:id="98916895">
              <w:marLeft w:val="0"/>
              <w:marRight w:val="0"/>
              <w:marTop w:val="0"/>
              <w:marBottom w:val="0"/>
              <w:divBdr>
                <w:top w:val="none" w:sz="0" w:space="0" w:color="auto"/>
                <w:left w:val="none" w:sz="0" w:space="0" w:color="auto"/>
                <w:bottom w:val="none" w:sz="0" w:space="0" w:color="auto"/>
                <w:right w:val="none" w:sz="0" w:space="0" w:color="auto"/>
              </w:divBdr>
            </w:div>
          </w:divsChild>
        </w:div>
        <w:div w:id="83503761">
          <w:marLeft w:val="0"/>
          <w:marRight w:val="0"/>
          <w:marTop w:val="0"/>
          <w:marBottom w:val="0"/>
          <w:divBdr>
            <w:top w:val="none" w:sz="0" w:space="0" w:color="auto"/>
            <w:left w:val="none" w:sz="0" w:space="0" w:color="auto"/>
            <w:bottom w:val="none" w:sz="0" w:space="0" w:color="auto"/>
            <w:right w:val="none" w:sz="0" w:space="0" w:color="auto"/>
          </w:divBdr>
          <w:divsChild>
            <w:div w:id="1476682215">
              <w:marLeft w:val="0"/>
              <w:marRight w:val="0"/>
              <w:marTop w:val="0"/>
              <w:marBottom w:val="0"/>
              <w:divBdr>
                <w:top w:val="none" w:sz="0" w:space="0" w:color="auto"/>
                <w:left w:val="none" w:sz="0" w:space="0" w:color="auto"/>
                <w:bottom w:val="none" w:sz="0" w:space="0" w:color="auto"/>
                <w:right w:val="none" w:sz="0" w:space="0" w:color="auto"/>
              </w:divBdr>
            </w:div>
          </w:divsChild>
        </w:div>
        <w:div w:id="150492534">
          <w:marLeft w:val="0"/>
          <w:marRight w:val="0"/>
          <w:marTop w:val="0"/>
          <w:marBottom w:val="0"/>
          <w:divBdr>
            <w:top w:val="none" w:sz="0" w:space="0" w:color="auto"/>
            <w:left w:val="none" w:sz="0" w:space="0" w:color="auto"/>
            <w:bottom w:val="none" w:sz="0" w:space="0" w:color="auto"/>
            <w:right w:val="none" w:sz="0" w:space="0" w:color="auto"/>
          </w:divBdr>
          <w:divsChild>
            <w:div w:id="898596519">
              <w:marLeft w:val="0"/>
              <w:marRight w:val="0"/>
              <w:marTop w:val="0"/>
              <w:marBottom w:val="0"/>
              <w:divBdr>
                <w:top w:val="none" w:sz="0" w:space="0" w:color="auto"/>
                <w:left w:val="none" w:sz="0" w:space="0" w:color="auto"/>
                <w:bottom w:val="none" w:sz="0" w:space="0" w:color="auto"/>
                <w:right w:val="none" w:sz="0" w:space="0" w:color="auto"/>
              </w:divBdr>
            </w:div>
          </w:divsChild>
        </w:div>
        <w:div w:id="155458102">
          <w:marLeft w:val="0"/>
          <w:marRight w:val="0"/>
          <w:marTop w:val="0"/>
          <w:marBottom w:val="0"/>
          <w:divBdr>
            <w:top w:val="none" w:sz="0" w:space="0" w:color="auto"/>
            <w:left w:val="none" w:sz="0" w:space="0" w:color="auto"/>
            <w:bottom w:val="none" w:sz="0" w:space="0" w:color="auto"/>
            <w:right w:val="none" w:sz="0" w:space="0" w:color="auto"/>
          </w:divBdr>
          <w:divsChild>
            <w:div w:id="330565826">
              <w:marLeft w:val="0"/>
              <w:marRight w:val="0"/>
              <w:marTop w:val="0"/>
              <w:marBottom w:val="0"/>
              <w:divBdr>
                <w:top w:val="none" w:sz="0" w:space="0" w:color="auto"/>
                <w:left w:val="none" w:sz="0" w:space="0" w:color="auto"/>
                <w:bottom w:val="none" w:sz="0" w:space="0" w:color="auto"/>
                <w:right w:val="none" w:sz="0" w:space="0" w:color="auto"/>
              </w:divBdr>
            </w:div>
          </w:divsChild>
        </w:div>
        <w:div w:id="198132729">
          <w:marLeft w:val="0"/>
          <w:marRight w:val="0"/>
          <w:marTop w:val="0"/>
          <w:marBottom w:val="0"/>
          <w:divBdr>
            <w:top w:val="none" w:sz="0" w:space="0" w:color="auto"/>
            <w:left w:val="none" w:sz="0" w:space="0" w:color="auto"/>
            <w:bottom w:val="none" w:sz="0" w:space="0" w:color="auto"/>
            <w:right w:val="none" w:sz="0" w:space="0" w:color="auto"/>
          </w:divBdr>
          <w:divsChild>
            <w:div w:id="634601884">
              <w:marLeft w:val="0"/>
              <w:marRight w:val="0"/>
              <w:marTop w:val="0"/>
              <w:marBottom w:val="0"/>
              <w:divBdr>
                <w:top w:val="none" w:sz="0" w:space="0" w:color="auto"/>
                <w:left w:val="none" w:sz="0" w:space="0" w:color="auto"/>
                <w:bottom w:val="none" w:sz="0" w:space="0" w:color="auto"/>
                <w:right w:val="none" w:sz="0" w:space="0" w:color="auto"/>
              </w:divBdr>
            </w:div>
            <w:div w:id="1555238056">
              <w:marLeft w:val="0"/>
              <w:marRight w:val="0"/>
              <w:marTop w:val="0"/>
              <w:marBottom w:val="0"/>
              <w:divBdr>
                <w:top w:val="none" w:sz="0" w:space="0" w:color="auto"/>
                <w:left w:val="none" w:sz="0" w:space="0" w:color="auto"/>
                <w:bottom w:val="none" w:sz="0" w:space="0" w:color="auto"/>
                <w:right w:val="none" w:sz="0" w:space="0" w:color="auto"/>
              </w:divBdr>
            </w:div>
          </w:divsChild>
        </w:div>
        <w:div w:id="413942579">
          <w:marLeft w:val="0"/>
          <w:marRight w:val="0"/>
          <w:marTop w:val="0"/>
          <w:marBottom w:val="0"/>
          <w:divBdr>
            <w:top w:val="none" w:sz="0" w:space="0" w:color="auto"/>
            <w:left w:val="none" w:sz="0" w:space="0" w:color="auto"/>
            <w:bottom w:val="none" w:sz="0" w:space="0" w:color="auto"/>
            <w:right w:val="none" w:sz="0" w:space="0" w:color="auto"/>
          </w:divBdr>
          <w:divsChild>
            <w:div w:id="1535069804">
              <w:marLeft w:val="0"/>
              <w:marRight w:val="0"/>
              <w:marTop w:val="0"/>
              <w:marBottom w:val="0"/>
              <w:divBdr>
                <w:top w:val="none" w:sz="0" w:space="0" w:color="auto"/>
                <w:left w:val="none" w:sz="0" w:space="0" w:color="auto"/>
                <w:bottom w:val="none" w:sz="0" w:space="0" w:color="auto"/>
                <w:right w:val="none" w:sz="0" w:space="0" w:color="auto"/>
              </w:divBdr>
            </w:div>
          </w:divsChild>
        </w:div>
        <w:div w:id="454913999">
          <w:marLeft w:val="0"/>
          <w:marRight w:val="0"/>
          <w:marTop w:val="0"/>
          <w:marBottom w:val="0"/>
          <w:divBdr>
            <w:top w:val="none" w:sz="0" w:space="0" w:color="auto"/>
            <w:left w:val="none" w:sz="0" w:space="0" w:color="auto"/>
            <w:bottom w:val="none" w:sz="0" w:space="0" w:color="auto"/>
            <w:right w:val="none" w:sz="0" w:space="0" w:color="auto"/>
          </w:divBdr>
          <w:divsChild>
            <w:div w:id="1703281808">
              <w:marLeft w:val="0"/>
              <w:marRight w:val="0"/>
              <w:marTop w:val="0"/>
              <w:marBottom w:val="0"/>
              <w:divBdr>
                <w:top w:val="none" w:sz="0" w:space="0" w:color="auto"/>
                <w:left w:val="none" w:sz="0" w:space="0" w:color="auto"/>
                <w:bottom w:val="none" w:sz="0" w:space="0" w:color="auto"/>
                <w:right w:val="none" w:sz="0" w:space="0" w:color="auto"/>
              </w:divBdr>
            </w:div>
          </w:divsChild>
        </w:div>
        <w:div w:id="481696590">
          <w:marLeft w:val="0"/>
          <w:marRight w:val="0"/>
          <w:marTop w:val="0"/>
          <w:marBottom w:val="0"/>
          <w:divBdr>
            <w:top w:val="none" w:sz="0" w:space="0" w:color="auto"/>
            <w:left w:val="none" w:sz="0" w:space="0" w:color="auto"/>
            <w:bottom w:val="none" w:sz="0" w:space="0" w:color="auto"/>
            <w:right w:val="none" w:sz="0" w:space="0" w:color="auto"/>
          </w:divBdr>
          <w:divsChild>
            <w:div w:id="1559047072">
              <w:marLeft w:val="0"/>
              <w:marRight w:val="0"/>
              <w:marTop w:val="0"/>
              <w:marBottom w:val="0"/>
              <w:divBdr>
                <w:top w:val="none" w:sz="0" w:space="0" w:color="auto"/>
                <w:left w:val="none" w:sz="0" w:space="0" w:color="auto"/>
                <w:bottom w:val="none" w:sz="0" w:space="0" w:color="auto"/>
                <w:right w:val="none" w:sz="0" w:space="0" w:color="auto"/>
              </w:divBdr>
            </w:div>
          </w:divsChild>
        </w:div>
        <w:div w:id="626159456">
          <w:marLeft w:val="0"/>
          <w:marRight w:val="0"/>
          <w:marTop w:val="0"/>
          <w:marBottom w:val="0"/>
          <w:divBdr>
            <w:top w:val="none" w:sz="0" w:space="0" w:color="auto"/>
            <w:left w:val="none" w:sz="0" w:space="0" w:color="auto"/>
            <w:bottom w:val="none" w:sz="0" w:space="0" w:color="auto"/>
            <w:right w:val="none" w:sz="0" w:space="0" w:color="auto"/>
          </w:divBdr>
          <w:divsChild>
            <w:div w:id="621302401">
              <w:marLeft w:val="0"/>
              <w:marRight w:val="0"/>
              <w:marTop w:val="0"/>
              <w:marBottom w:val="0"/>
              <w:divBdr>
                <w:top w:val="none" w:sz="0" w:space="0" w:color="auto"/>
                <w:left w:val="none" w:sz="0" w:space="0" w:color="auto"/>
                <w:bottom w:val="none" w:sz="0" w:space="0" w:color="auto"/>
                <w:right w:val="none" w:sz="0" w:space="0" w:color="auto"/>
              </w:divBdr>
            </w:div>
            <w:div w:id="1101336965">
              <w:marLeft w:val="0"/>
              <w:marRight w:val="0"/>
              <w:marTop w:val="0"/>
              <w:marBottom w:val="0"/>
              <w:divBdr>
                <w:top w:val="none" w:sz="0" w:space="0" w:color="auto"/>
                <w:left w:val="none" w:sz="0" w:space="0" w:color="auto"/>
                <w:bottom w:val="none" w:sz="0" w:space="0" w:color="auto"/>
                <w:right w:val="none" w:sz="0" w:space="0" w:color="auto"/>
              </w:divBdr>
            </w:div>
            <w:div w:id="1261570873">
              <w:marLeft w:val="0"/>
              <w:marRight w:val="0"/>
              <w:marTop w:val="0"/>
              <w:marBottom w:val="0"/>
              <w:divBdr>
                <w:top w:val="none" w:sz="0" w:space="0" w:color="auto"/>
                <w:left w:val="none" w:sz="0" w:space="0" w:color="auto"/>
                <w:bottom w:val="none" w:sz="0" w:space="0" w:color="auto"/>
                <w:right w:val="none" w:sz="0" w:space="0" w:color="auto"/>
              </w:divBdr>
            </w:div>
          </w:divsChild>
        </w:div>
        <w:div w:id="661810443">
          <w:marLeft w:val="0"/>
          <w:marRight w:val="0"/>
          <w:marTop w:val="0"/>
          <w:marBottom w:val="0"/>
          <w:divBdr>
            <w:top w:val="none" w:sz="0" w:space="0" w:color="auto"/>
            <w:left w:val="none" w:sz="0" w:space="0" w:color="auto"/>
            <w:bottom w:val="none" w:sz="0" w:space="0" w:color="auto"/>
            <w:right w:val="none" w:sz="0" w:space="0" w:color="auto"/>
          </w:divBdr>
          <w:divsChild>
            <w:div w:id="492375699">
              <w:marLeft w:val="0"/>
              <w:marRight w:val="0"/>
              <w:marTop w:val="0"/>
              <w:marBottom w:val="0"/>
              <w:divBdr>
                <w:top w:val="none" w:sz="0" w:space="0" w:color="auto"/>
                <w:left w:val="none" w:sz="0" w:space="0" w:color="auto"/>
                <w:bottom w:val="none" w:sz="0" w:space="0" w:color="auto"/>
                <w:right w:val="none" w:sz="0" w:space="0" w:color="auto"/>
              </w:divBdr>
            </w:div>
          </w:divsChild>
        </w:div>
        <w:div w:id="825442391">
          <w:marLeft w:val="0"/>
          <w:marRight w:val="0"/>
          <w:marTop w:val="0"/>
          <w:marBottom w:val="0"/>
          <w:divBdr>
            <w:top w:val="none" w:sz="0" w:space="0" w:color="auto"/>
            <w:left w:val="none" w:sz="0" w:space="0" w:color="auto"/>
            <w:bottom w:val="none" w:sz="0" w:space="0" w:color="auto"/>
            <w:right w:val="none" w:sz="0" w:space="0" w:color="auto"/>
          </w:divBdr>
          <w:divsChild>
            <w:div w:id="301547125">
              <w:marLeft w:val="0"/>
              <w:marRight w:val="0"/>
              <w:marTop w:val="0"/>
              <w:marBottom w:val="0"/>
              <w:divBdr>
                <w:top w:val="none" w:sz="0" w:space="0" w:color="auto"/>
                <w:left w:val="none" w:sz="0" w:space="0" w:color="auto"/>
                <w:bottom w:val="none" w:sz="0" w:space="0" w:color="auto"/>
                <w:right w:val="none" w:sz="0" w:space="0" w:color="auto"/>
              </w:divBdr>
            </w:div>
          </w:divsChild>
        </w:div>
        <w:div w:id="880215840">
          <w:marLeft w:val="0"/>
          <w:marRight w:val="0"/>
          <w:marTop w:val="0"/>
          <w:marBottom w:val="0"/>
          <w:divBdr>
            <w:top w:val="none" w:sz="0" w:space="0" w:color="auto"/>
            <w:left w:val="none" w:sz="0" w:space="0" w:color="auto"/>
            <w:bottom w:val="none" w:sz="0" w:space="0" w:color="auto"/>
            <w:right w:val="none" w:sz="0" w:space="0" w:color="auto"/>
          </w:divBdr>
          <w:divsChild>
            <w:div w:id="405960870">
              <w:marLeft w:val="0"/>
              <w:marRight w:val="0"/>
              <w:marTop w:val="0"/>
              <w:marBottom w:val="0"/>
              <w:divBdr>
                <w:top w:val="none" w:sz="0" w:space="0" w:color="auto"/>
                <w:left w:val="none" w:sz="0" w:space="0" w:color="auto"/>
                <w:bottom w:val="none" w:sz="0" w:space="0" w:color="auto"/>
                <w:right w:val="none" w:sz="0" w:space="0" w:color="auto"/>
              </w:divBdr>
            </w:div>
          </w:divsChild>
        </w:div>
        <w:div w:id="1038701193">
          <w:marLeft w:val="0"/>
          <w:marRight w:val="0"/>
          <w:marTop w:val="0"/>
          <w:marBottom w:val="0"/>
          <w:divBdr>
            <w:top w:val="none" w:sz="0" w:space="0" w:color="auto"/>
            <w:left w:val="none" w:sz="0" w:space="0" w:color="auto"/>
            <w:bottom w:val="none" w:sz="0" w:space="0" w:color="auto"/>
            <w:right w:val="none" w:sz="0" w:space="0" w:color="auto"/>
          </w:divBdr>
          <w:divsChild>
            <w:div w:id="1116830850">
              <w:marLeft w:val="0"/>
              <w:marRight w:val="0"/>
              <w:marTop w:val="0"/>
              <w:marBottom w:val="0"/>
              <w:divBdr>
                <w:top w:val="none" w:sz="0" w:space="0" w:color="auto"/>
                <w:left w:val="none" w:sz="0" w:space="0" w:color="auto"/>
                <w:bottom w:val="none" w:sz="0" w:space="0" w:color="auto"/>
                <w:right w:val="none" w:sz="0" w:space="0" w:color="auto"/>
              </w:divBdr>
            </w:div>
          </w:divsChild>
        </w:div>
        <w:div w:id="1042168219">
          <w:marLeft w:val="0"/>
          <w:marRight w:val="0"/>
          <w:marTop w:val="0"/>
          <w:marBottom w:val="0"/>
          <w:divBdr>
            <w:top w:val="none" w:sz="0" w:space="0" w:color="auto"/>
            <w:left w:val="none" w:sz="0" w:space="0" w:color="auto"/>
            <w:bottom w:val="none" w:sz="0" w:space="0" w:color="auto"/>
            <w:right w:val="none" w:sz="0" w:space="0" w:color="auto"/>
          </w:divBdr>
          <w:divsChild>
            <w:div w:id="1408262429">
              <w:marLeft w:val="0"/>
              <w:marRight w:val="0"/>
              <w:marTop w:val="0"/>
              <w:marBottom w:val="0"/>
              <w:divBdr>
                <w:top w:val="none" w:sz="0" w:space="0" w:color="auto"/>
                <w:left w:val="none" w:sz="0" w:space="0" w:color="auto"/>
                <w:bottom w:val="none" w:sz="0" w:space="0" w:color="auto"/>
                <w:right w:val="none" w:sz="0" w:space="0" w:color="auto"/>
              </w:divBdr>
            </w:div>
          </w:divsChild>
        </w:div>
        <w:div w:id="1101291933">
          <w:marLeft w:val="0"/>
          <w:marRight w:val="0"/>
          <w:marTop w:val="0"/>
          <w:marBottom w:val="0"/>
          <w:divBdr>
            <w:top w:val="none" w:sz="0" w:space="0" w:color="auto"/>
            <w:left w:val="none" w:sz="0" w:space="0" w:color="auto"/>
            <w:bottom w:val="none" w:sz="0" w:space="0" w:color="auto"/>
            <w:right w:val="none" w:sz="0" w:space="0" w:color="auto"/>
          </w:divBdr>
          <w:divsChild>
            <w:div w:id="1686053165">
              <w:marLeft w:val="0"/>
              <w:marRight w:val="0"/>
              <w:marTop w:val="0"/>
              <w:marBottom w:val="0"/>
              <w:divBdr>
                <w:top w:val="none" w:sz="0" w:space="0" w:color="auto"/>
                <w:left w:val="none" w:sz="0" w:space="0" w:color="auto"/>
                <w:bottom w:val="none" w:sz="0" w:space="0" w:color="auto"/>
                <w:right w:val="none" w:sz="0" w:space="0" w:color="auto"/>
              </w:divBdr>
            </w:div>
          </w:divsChild>
        </w:div>
        <w:div w:id="1159153170">
          <w:marLeft w:val="0"/>
          <w:marRight w:val="0"/>
          <w:marTop w:val="0"/>
          <w:marBottom w:val="0"/>
          <w:divBdr>
            <w:top w:val="none" w:sz="0" w:space="0" w:color="auto"/>
            <w:left w:val="none" w:sz="0" w:space="0" w:color="auto"/>
            <w:bottom w:val="none" w:sz="0" w:space="0" w:color="auto"/>
            <w:right w:val="none" w:sz="0" w:space="0" w:color="auto"/>
          </w:divBdr>
          <w:divsChild>
            <w:div w:id="519004605">
              <w:marLeft w:val="0"/>
              <w:marRight w:val="0"/>
              <w:marTop w:val="0"/>
              <w:marBottom w:val="0"/>
              <w:divBdr>
                <w:top w:val="none" w:sz="0" w:space="0" w:color="auto"/>
                <w:left w:val="none" w:sz="0" w:space="0" w:color="auto"/>
                <w:bottom w:val="none" w:sz="0" w:space="0" w:color="auto"/>
                <w:right w:val="none" w:sz="0" w:space="0" w:color="auto"/>
              </w:divBdr>
            </w:div>
          </w:divsChild>
        </w:div>
        <w:div w:id="1245795363">
          <w:marLeft w:val="0"/>
          <w:marRight w:val="0"/>
          <w:marTop w:val="0"/>
          <w:marBottom w:val="0"/>
          <w:divBdr>
            <w:top w:val="none" w:sz="0" w:space="0" w:color="auto"/>
            <w:left w:val="none" w:sz="0" w:space="0" w:color="auto"/>
            <w:bottom w:val="none" w:sz="0" w:space="0" w:color="auto"/>
            <w:right w:val="none" w:sz="0" w:space="0" w:color="auto"/>
          </w:divBdr>
          <w:divsChild>
            <w:div w:id="128019542">
              <w:marLeft w:val="0"/>
              <w:marRight w:val="0"/>
              <w:marTop w:val="0"/>
              <w:marBottom w:val="0"/>
              <w:divBdr>
                <w:top w:val="none" w:sz="0" w:space="0" w:color="auto"/>
                <w:left w:val="none" w:sz="0" w:space="0" w:color="auto"/>
                <w:bottom w:val="none" w:sz="0" w:space="0" w:color="auto"/>
                <w:right w:val="none" w:sz="0" w:space="0" w:color="auto"/>
              </w:divBdr>
            </w:div>
            <w:div w:id="780026250">
              <w:marLeft w:val="0"/>
              <w:marRight w:val="0"/>
              <w:marTop w:val="0"/>
              <w:marBottom w:val="0"/>
              <w:divBdr>
                <w:top w:val="none" w:sz="0" w:space="0" w:color="auto"/>
                <w:left w:val="none" w:sz="0" w:space="0" w:color="auto"/>
                <w:bottom w:val="none" w:sz="0" w:space="0" w:color="auto"/>
                <w:right w:val="none" w:sz="0" w:space="0" w:color="auto"/>
              </w:divBdr>
            </w:div>
            <w:div w:id="1210531614">
              <w:marLeft w:val="0"/>
              <w:marRight w:val="0"/>
              <w:marTop w:val="0"/>
              <w:marBottom w:val="0"/>
              <w:divBdr>
                <w:top w:val="none" w:sz="0" w:space="0" w:color="auto"/>
                <w:left w:val="none" w:sz="0" w:space="0" w:color="auto"/>
                <w:bottom w:val="none" w:sz="0" w:space="0" w:color="auto"/>
                <w:right w:val="none" w:sz="0" w:space="0" w:color="auto"/>
              </w:divBdr>
            </w:div>
            <w:div w:id="1382898576">
              <w:marLeft w:val="0"/>
              <w:marRight w:val="0"/>
              <w:marTop w:val="0"/>
              <w:marBottom w:val="0"/>
              <w:divBdr>
                <w:top w:val="none" w:sz="0" w:space="0" w:color="auto"/>
                <w:left w:val="none" w:sz="0" w:space="0" w:color="auto"/>
                <w:bottom w:val="none" w:sz="0" w:space="0" w:color="auto"/>
                <w:right w:val="none" w:sz="0" w:space="0" w:color="auto"/>
              </w:divBdr>
            </w:div>
            <w:div w:id="1721859837">
              <w:marLeft w:val="0"/>
              <w:marRight w:val="0"/>
              <w:marTop w:val="0"/>
              <w:marBottom w:val="0"/>
              <w:divBdr>
                <w:top w:val="none" w:sz="0" w:space="0" w:color="auto"/>
                <w:left w:val="none" w:sz="0" w:space="0" w:color="auto"/>
                <w:bottom w:val="none" w:sz="0" w:space="0" w:color="auto"/>
                <w:right w:val="none" w:sz="0" w:space="0" w:color="auto"/>
              </w:divBdr>
            </w:div>
            <w:div w:id="2138644070">
              <w:marLeft w:val="0"/>
              <w:marRight w:val="0"/>
              <w:marTop w:val="0"/>
              <w:marBottom w:val="0"/>
              <w:divBdr>
                <w:top w:val="none" w:sz="0" w:space="0" w:color="auto"/>
                <w:left w:val="none" w:sz="0" w:space="0" w:color="auto"/>
                <w:bottom w:val="none" w:sz="0" w:space="0" w:color="auto"/>
                <w:right w:val="none" w:sz="0" w:space="0" w:color="auto"/>
              </w:divBdr>
            </w:div>
          </w:divsChild>
        </w:div>
        <w:div w:id="1323704853">
          <w:marLeft w:val="0"/>
          <w:marRight w:val="0"/>
          <w:marTop w:val="0"/>
          <w:marBottom w:val="0"/>
          <w:divBdr>
            <w:top w:val="none" w:sz="0" w:space="0" w:color="auto"/>
            <w:left w:val="none" w:sz="0" w:space="0" w:color="auto"/>
            <w:bottom w:val="none" w:sz="0" w:space="0" w:color="auto"/>
            <w:right w:val="none" w:sz="0" w:space="0" w:color="auto"/>
          </w:divBdr>
          <w:divsChild>
            <w:div w:id="99568481">
              <w:marLeft w:val="0"/>
              <w:marRight w:val="0"/>
              <w:marTop w:val="0"/>
              <w:marBottom w:val="0"/>
              <w:divBdr>
                <w:top w:val="none" w:sz="0" w:space="0" w:color="auto"/>
                <w:left w:val="none" w:sz="0" w:space="0" w:color="auto"/>
                <w:bottom w:val="none" w:sz="0" w:space="0" w:color="auto"/>
                <w:right w:val="none" w:sz="0" w:space="0" w:color="auto"/>
              </w:divBdr>
            </w:div>
            <w:div w:id="180628525">
              <w:marLeft w:val="0"/>
              <w:marRight w:val="0"/>
              <w:marTop w:val="0"/>
              <w:marBottom w:val="0"/>
              <w:divBdr>
                <w:top w:val="none" w:sz="0" w:space="0" w:color="auto"/>
                <w:left w:val="none" w:sz="0" w:space="0" w:color="auto"/>
                <w:bottom w:val="none" w:sz="0" w:space="0" w:color="auto"/>
                <w:right w:val="none" w:sz="0" w:space="0" w:color="auto"/>
              </w:divBdr>
            </w:div>
            <w:div w:id="1060399822">
              <w:marLeft w:val="0"/>
              <w:marRight w:val="0"/>
              <w:marTop w:val="0"/>
              <w:marBottom w:val="0"/>
              <w:divBdr>
                <w:top w:val="none" w:sz="0" w:space="0" w:color="auto"/>
                <w:left w:val="none" w:sz="0" w:space="0" w:color="auto"/>
                <w:bottom w:val="none" w:sz="0" w:space="0" w:color="auto"/>
                <w:right w:val="none" w:sz="0" w:space="0" w:color="auto"/>
              </w:divBdr>
            </w:div>
            <w:div w:id="1427921299">
              <w:marLeft w:val="0"/>
              <w:marRight w:val="0"/>
              <w:marTop w:val="0"/>
              <w:marBottom w:val="0"/>
              <w:divBdr>
                <w:top w:val="none" w:sz="0" w:space="0" w:color="auto"/>
                <w:left w:val="none" w:sz="0" w:space="0" w:color="auto"/>
                <w:bottom w:val="none" w:sz="0" w:space="0" w:color="auto"/>
                <w:right w:val="none" w:sz="0" w:space="0" w:color="auto"/>
              </w:divBdr>
            </w:div>
            <w:div w:id="2100830776">
              <w:marLeft w:val="0"/>
              <w:marRight w:val="0"/>
              <w:marTop w:val="0"/>
              <w:marBottom w:val="0"/>
              <w:divBdr>
                <w:top w:val="none" w:sz="0" w:space="0" w:color="auto"/>
                <w:left w:val="none" w:sz="0" w:space="0" w:color="auto"/>
                <w:bottom w:val="none" w:sz="0" w:space="0" w:color="auto"/>
                <w:right w:val="none" w:sz="0" w:space="0" w:color="auto"/>
              </w:divBdr>
            </w:div>
          </w:divsChild>
        </w:div>
        <w:div w:id="1517035651">
          <w:marLeft w:val="0"/>
          <w:marRight w:val="0"/>
          <w:marTop w:val="0"/>
          <w:marBottom w:val="0"/>
          <w:divBdr>
            <w:top w:val="none" w:sz="0" w:space="0" w:color="auto"/>
            <w:left w:val="none" w:sz="0" w:space="0" w:color="auto"/>
            <w:bottom w:val="none" w:sz="0" w:space="0" w:color="auto"/>
            <w:right w:val="none" w:sz="0" w:space="0" w:color="auto"/>
          </w:divBdr>
          <w:divsChild>
            <w:div w:id="365834986">
              <w:marLeft w:val="0"/>
              <w:marRight w:val="0"/>
              <w:marTop w:val="0"/>
              <w:marBottom w:val="0"/>
              <w:divBdr>
                <w:top w:val="none" w:sz="0" w:space="0" w:color="auto"/>
                <w:left w:val="none" w:sz="0" w:space="0" w:color="auto"/>
                <w:bottom w:val="none" w:sz="0" w:space="0" w:color="auto"/>
                <w:right w:val="none" w:sz="0" w:space="0" w:color="auto"/>
              </w:divBdr>
            </w:div>
          </w:divsChild>
        </w:div>
        <w:div w:id="1603682282">
          <w:marLeft w:val="0"/>
          <w:marRight w:val="0"/>
          <w:marTop w:val="0"/>
          <w:marBottom w:val="0"/>
          <w:divBdr>
            <w:top w:val="none" w:sz="0" w:space="0" w:color="auto"/>
            <w:left w:val="none" w:sz="0" w:space="0" w:color="auto"/>
            <w:bottom w:val="none" w:sz="0" w:space="0" w:color="auto"/>
            <w:right w:val="none" w:sz="0" w:space="0" w:color="auto"/>
          </w:divBdr>
          <w:divsChild>
            <w:div w:id="808866284">
              <w:marLeft w:val="0"/>
              <w:marRight w:val="0"/>
              <w:marTop w:val="0"/>
              <w:marBottom w:val="0"/>
              <w:divBdr>
                <w:top w:val="none" w:sz="0" w:space="0" w:color="auto"/>
                <w:left w:val="none" w:sz="0" w:space="0" w:color="auto"/>
                <w:bottom w:val="none" w:sz="0" w:space="0" w:color="auto"/>
                <w:right w:val="none" w:sz="0" w:space="0" w:color="auto"/>
              </w:divBdr>
            </w:div>
            <w:div w:id="1840346181">
              <w:marLeft w:val="0"/>
              <w:marRight w:val="0"/>
              <w:marTop w:val="0"/>
              <w:marBottom w:val="0"/>
              <w:divBdr>
                <w:top w:val="none" w:sz="0" w:space="0" w:color="auto"/>
                <w:left w:val="none" w:sz="0" w:space="0" w:color="auto"/>
                <w:bottom w:val="none" w:sz="0" w:space="0" w:color="auto"/>
                <w:right w:val="none" w:sz="0" w:space="0" w:color="auto"/>
              </w:divBdr>
            </w:div>
          </w:divsChild>
        </w:div>
        <w:div w:id="1630748059">
          <w:marLeft w:val="0"/>
          <w:marRight w:val="0"/>
          <w:marTop w:val="0"/>
          <w:marBottom w:val="0"/>
          <w:divBdr>
            <w:top w:val="none" w:sz="0" w:space="0" w:color="auto"/>
            <w:left w:val="none" w:sz="0" w:space="0" w:color="auto"/>
            <w:bottom w:val="none" w:sz="0" w:space="0" w:color="auto"/>
            <w:right w:val="none" w:sz="0" w:space="0" w:color="auto"/>
          </w:divBdr>
          <w:divsChild>
            <w:div w:id="353381992">
              <w:marLeft w:val="0"/>
              <w:marRight w:val="0"/>
              <w:marTop w:val="0"/>
              <w:marBottom w:val="0"/>
              <w:divBdr>
                <w:top w:val="none" w:sz="0" w:space="0" w:color="auto"/>
                <w:left w:val="none" w:sz="0" w:space="0" w:color="auto"/>
                <w:bottom w:val="none" w:sz="0" w:space="0" w:color="auto"/>
                <w:right w:val="none" w:sz="0" w:space="0" w:color="auto"/>
              </w:divBdr>
            </w:div>
            <w:div w:id="429660514">
              <w:marLeft w:val="0"/>
              <w:marRight w:val="0"/>
              <w:marTop w:val="0"/>
              <w:marBottom w:val="0"/>
              <w:divBdr>
                <w:top w:val="none" w:sz="0" w:space="0" w:color="auto"/>
                <w:left w:val="none" w:sz="0" w:space="0" w:color="auto"/>
                <w:bottom w:val="none" w:sz="0" w:space="0" w:color="auto"/>
                <w:right w:val="none" w:sz="0" w:space="0" w:color="auto"/>
              </w:divBdr>
            </w:div>
            <w:div w:id="1534608169">
              <w:marLeft w:val="0"/>
              <w:marRight w:val="0"/>
              <w:marTop w:val="0"/>
              <w:marBottom w:val="0"/>
              <w:divBdr>
                <w:top w:val="none" w:sz="0" w:space="0" w:color="auto"/>
                <w:left w:val="none" w:sz="0" w:space="0" w:color="auto"/>
                <w:bottom w:val="none" w:sz="0" w:space="0" w:color="auto"/>
                <w:right w:val="none" w:sz="0" w:space="0" w:color="auto"/>
              </w:divBdr>
            </w:div>
          </w:divsChild>
        </w:div>
        <w:div w:id="1655257953">
          <w:marLeft w:val="0"/>
          <w:marRight w:val="0"/>
          <w:marTop w:val="0"/>
          <w:marBottom w:val="0"/>
          <w:divBdr>
            <w:top w:val="none" w:sz="0" w:space="0" w:color="auto"/>
            <w:left w:val="none" w:sz="0" w:space="0" w:color="auto"/>
            <w:bottom w:val="none" w:sz="0" w:space="0" w:color="auto"/>
            <w:right w:val="none" w:sz="0" w:space="0" w:color="auto"/>
          </w:divBdr>
          <w:divsChild>
            <w:div w:id="1467508196">
              <w:marLeft w:val="0"/>
              <w:marRight w:val="0"/>
              <w:marTop w:val="0"/>
              <w:marBottom w:val="0"/>
              <w:divBdr>
                <w:top w:val="none" w:sz="0" w:space="0" w:color="auto"/>
                <w:left w:val="none" w:sz="0" w:space="0" w:color="auto"/>
                <w:bottom w:val="none" w:sz="0" w:space="0" w:color="auto"/>
                <w:right w:val="none" w:sz="0" w:space="0" w:color="auto"/>
              </w:divBdr>
            </w:div>
            <w:div w:id="2136215512">
              <w:marLeft w:val="0"/>
              <w:marRight w:val="0"/>
              <w:marTop w:val="0"/>
              <w:marBottom w:val="0"/>
              <w:divBdr>
                <w:top w:val="none" w:sz="0" w:space="0" w:color="auto"/>
                <w:left w:val="none" w:sz="0" w:space="0" w:color="auto"/>
                <w:bottom w:val="none" w:sz="0" w:space="0" w:color="auto"/>
                <w:right w:val="none" w:sz="0" w:space="0" w:color="auto"/>
              </w:divBdr>
            </w:div>
          </w:divsChild>
        </w:div>
        <w:div w:id="1708142500">
          <w:marLeft w:val="0"/>
          <w:marRight w:val="0"/>
          <w:marTop w:val="0"/>
          <w:marBottom w:val="0"/>
          <w:divBdr>
            <w:top w:val="none" w:sz="0" w:space="0" w:color="auto"/>
            <w:left w:val="none" w:sz="0" w:space="0" w:color="auto"/>
            <w:bottom w:val="none" w:sz="0" w:space="0" w:color="auto"/>
            <w:right w:val="none" w:sz="0" w:space="0" w:color="auto"/>
          </w:divBdr>
          <w:divsChild>
            <w:div w:id="3556830">
              <w:marLeft w:val="0"/>
              <w:marRight w:val="0"/>
              <w:marTop w:val="0"/>
              <w:marBottom w:val="0"/>
              <w:divBdr>
                <w:top w:val="none" w:sz="0" w:space="0" w:color="auto"/>
                <w:left w:val="none" w:sz="0" w:space="0" w:color="auto"/>
                <w:bottom w:val="none" w:sz="0" w:space="0" w:color="auto"/>
                <w:right w:val="none" w:sz="0" w:space="0" w:color="auto"/>
              </w:divBdr>
            </w:div>
          </w:divsChild>
        </w:div>
        <w:div w:id="1838108765">
          <w:marLeft w:val="0"/>
          <w:marRight w:val="0"/>
          <w:marTop w:val="0"/>
          <w:marBottom w:val="0"/>
          <w:divBdr>
            <w:top w:val="none" w:sz="0" w:space="0" w:color="auto"/>
            <w:left w:val="none" w:sz="0" w:space="0" w:color="auto"/>
            <w:bottom w:val="none" w:sz="0" w:space="0" w:color="auto"/>
            <w:right w:val="none" w:sz="0" w:space="0" w:color="auto"/>
          </w:divBdr>
          <w:divsChild>
            <w:div w:id="1932396931">
              <w:marLeft w:val="0"/>
              <w:marRight w:val="0"/>
              <w:marTop w:val="0"/>
              <w:marBottom w:val="0"/>
              <w:divBdr>
                <w:top w:val="none" w:sz="0" w:space="0" w:color="auto"/>
                <w:left w:val="none" w:sz="0" w:space="0" w:color="auto"/>
                <w:bottom w:val="none" w:sz="0" w:space="0" w:color="auto"/>
                <w:right w:val="none" w:sz="0" w:space="0" w:color="auto"/>
              </w:divBdr>
            </w:div>
          </w:divsChild>
        </w:div>
        <w:div w:id="1875969649">
          <w:marLeft w:val="0"/>
          <w:marRight w:val="0"/>
          <w:marTop w:val="0"/>
          <w:marBottom w:val="0"/>
          <w:divBdr>
            <w:top w:val="none" w:sz="0" w:space="0" w:color="auto"/>
            <w:left w:val="none" w:sz="0" w:space="0" w:color="auto"/>
            <w:bottom w:val="none" w:sz="0" w:space="0" w:color="auto"/>
            <w:right w:val="none" w:sz="0" w:space="0" w:color="auto"/>
          </w:divBdr>
          <w:divsChild>
            <w:div w:id="670449611">
              <w:marLeft w:val="0"/>
              <w:marRight w:val="0"/>
              <w:marTop w:val="0"/>
              <w:marBottom w:val="0"/>
              <w:divBdr>
                <w:top w:val="none" w:sz="0" w:space="0" w:color="auto"/>
                <w:left w:val="none" w:sz="0" w:space="0" w:color="auto"/>
                <w:bottom w:val="none" w:sz="0" w:space="0" w:color="auto"/>
                <w:right w:val="none" w:sz="0" w:space="0" w:color="auto"/>
              </w:divBdr>
            </w:div>
          </w:divsChild>
        </w:div>
        <w:div w:id="1878083164">
          <w:marLeft w:val="0"/>
          <w:marRight w:val="0"/>
          <w:marTop w:val="0"/>
          <w:marBottom w:val="0"/>
          <w:divBdr>
            <w:top w:val="none" w:sz="0" w:space="0" w:color="auto"/>
            <w:left w:val="none" w:sz="0" w:space="0" w:color="auto"/>
            <w:bottom w:val="none" w:sz="0" w:space="0" w:color="auto"/>
            <w:right w:val="none" w:sz="0" w:space="0" w:color="auto"/>
          </w:divBdr>
          <w:divsChild>
            <w:div w:id="2097826220">
              <w:marLeft w:val="0"/>
              <w:marRight w:val="0"/>
              <w:marTop w:val="0"/>
              <w:marBottom w:val="0"/>
              <w:divBdr>
                <w:top w:val="none" w:sz="0" w:space="0" w:color="auto"/>
                <w:left w:val="none" w:sz="0" w:space="0" w:color="auto"/>
                <w:bottom w:val="none" w:sz="0" w:space="0" w:color="auto"/>
                <w:right w:val="none" w:sz="0" w:space="0" w:color="auto"/>
              </w:divBdr>
            </w:div>
          </w:divsChild>
        </w:div>
        <w:div w:id="1908295310">
          <w:marLeft w:val="0"/>
          <w:marRight w:val="0"/>
          <w:marTop w:val="0"/>
          <w:marBottom w:val="0"/>
          <w:divBdr>
            <w:top w:val="none" w:sz="0" w:space="0" w:color="auto"/>
            <w:left w:val="none" w:sz="0" w:space="0" w:color="auto"/>
            <w:bottom w:val="none" w:sz="0" w:space="0" w:color="auto"/>
            <w:right w:val="none" w:sz="0" w:space="0" w:color="auto"/>
          </w:divBdr>
          <w:divsChild>
            <w:div w:id="1626958605">
              <w:marLeft w:val="0"/>
              <w:marRight w:val="0"/>
              <w:marTop w:val="0"/>
              <w:marBottom w:val="0"/>
              <w:divBdr>
                <w:top w:val="none" w:sz="0" w:space="0" w:color="auto"/>
                <w:left w:val="none" w:sz="0" w:space="0" w:color="auto"/>
                <w:bottom w:val="none" w:sz="0" w:space="0" w:color="auto"/>
                <w:right w:val="none" w:sz="0" w:space="0" w:color="auto"/>
              </w:divBdr>
            </w:div>
          </w:divsChild>
        </w:div>
        <w:div w:id="1947344280">
          <w:marLeft w:val="0"/>
          <w:marRight w:val="0"/>
          <w:marTop w:val="0"/>
          <w:marBottom w:val="0"/>
          <w:divBdr>
            <w:top w:val="none" w:sz="0" w:space="0" w:color="auto"/>
            <w:left w:val="none" w:sz="0" w:space="0" w:color="auto"/>
            <w:bottom w:val="none" w:sz="0" w:space="0" w:color="auto"/>
            <w:right w:val="none" w:sz="0" w:space="0" w:color="auto"/>
          </w:divBdr>
          <w:divsChild>
            <w:div w:id="138890262">
              <w:marLeft w:val="0"/>
              <w:marRight w:val="0"/>
              <w:marTop w:val="0"/>
              <w:marBottom w:val="0"/>
              <w:divBdr>
                <w:top w:val="none" w:sz="0" w:space="0" w:color="auto"/>
                <w:left w:val="none" w:sz="0" w:space="0" w:color="auto"/>
                <w:bottom w:val="none" w:sz="0" w:space="0" w:color="auto"/>
                <w:right w:val="none" w:sz="0" w:space="0" w:color="auto"/>
              </w:divBdr>
            </w:div>
          </w:divsChild>
        </w:div>
        <w:div w:id="1994672066">
          <w:marLeft w:val="0"/>
          <w:marRight w:val="0"/>
          <w:marTop w:val="0"/>
          <w:marBottom w:val="0"/>
          <w:divBdr>
            <w:top w:val="none" w:sz="0" w:space="0" w:color="auto"/>
            <w:left w:val="none" w:sz="0" w:space="0" w:color="auto"/>
            <w:bottom w:val="none" w:sz="0" w:space="0" w:color="auto"/>
            <w:right w:val="none" w:sz="0" w:space="0" w:color="auto"/>
          </w:divBdr>
          <w:divsChild>
            <w:div w:id="819923640">
              <w:marLeft w:val="0"/>
              <w:marRight w:val="0"/>
              <w:marTop w:val="0"/>
              <w:marBottom w:val="0"/>
              <w:divBdr>
                <w:top w:val="none" w:sz="0" w:space="0" w:color="auto"/>
                <w:left w:val="none" w:sz="0" w:space="0" w:color="auto"/>
                <w:bottom w:val="none" w:sz="0" w:space="0" w:color="auto"/>
                <w:right w:val="none" w:sz="0" w:space="0" w:color="auto"/>
              </w:divBdr>
            </w:div>
            <w:div w:id="939603537">
              <w:marLeft w:val="0"/>
              <w:marRight w:val="0"/>
              <w:marTop w:val="0"/>
              <w:marBottom w:val="0"/>
              <w:divBdr>
                <w:top w:val="none" w:sz="0" w:space="0" w:color="auto"/>
                <w:left w:val="none" w:sz="0" w:space="0" w:color="auto"/>
                <w:bottom w:val="none" w:sz="0" w:space="0" w:color="auto"/>
                <w:right w:val="none" w:sz="0" w:space="0" w:color="auto"/>
              </w:divBdr>
            </w:div>
            <w:div w:id="985469683">
              <w:marLeft w:val="0"/>
              <w:marRight w:val="0"/>
              <w:marTop w:val="0"/>
              <w:marBottom w:val="0"/>
              <w:divBdr>
                <w:top w:val="none" w:sz="0" w:space="0" w:color="auto"/>
                <w:left w:val="none" w:sz="0" w:space="0" w:color="auto"/>
                <w:bottom w:val="none" w:sz="0" w:space="0" w:color="auto"/>
                <w:right w:val="none" w:sz="0" w:space="0" w:color="auto"/>
              </w:divBdr>
            </w:div>
            <w:div w:id="14799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6" ma:contentTypeDescription="Create a new document." ma:contentTypeScope="" ma:versionID="dd97e54d194f5132732c0ac9bd080aef">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556e74c01a438f86d0fdc68261d2bbf3"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29CB76-A362-4284-B473-4A3DCEBC8890}">
  <ds:schemaRefs>
    <ds:schemaRef ds:uri="http://schemas.microsoft.com/sharepoint/v3/contenttype/forms"/>
  </ds:schemaRefs>
</ds:datastoreItem>
</file>

<file path=customXml/itemProps2.xml><?xml version="1.0" encoding="utf-8"?>
<ds:datastoreItem xmlns:ds="http://schemas.openxmlformats.org/officeDocument/2006/customXml" ds:itemID="{97ACADE7-13C9-4188-BCAF-06E132F771A1}"/>
</file>

<file path=customXml/itemProps3.xml><?xml version="1.0" encoding="utf-8"?>
<ds:datastoreItem xmlns:ds="http://schemas.openxmlformats.org/officeDocument/2006/customXml" ds:itemID="{399B70F3-37F3-42A5-B623-89AC5F945F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1256</Words>
  <Characters>7161</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Samantha Botsford</cp:lastModifiedBy>
  <cp:revision>2</cp:revision>
  <cp:lastPrinted>2023-01-31T02:58:00Z</cp:lastPrinted>
  <dcterms:created xsi:type="dcterms:W3CDTF">2023-06-05T12:16:00Z</dcterms:created>
  <dcterms:modified xsi:type="dcterms:W3CDTF">2023-06-05T12:16:00Z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0x0101009788AAC518223C468C6FA28AB7C0020B</vt:lpwstr>
  </property>
</Properties>
</file>