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F678" w14:textId="77777777" w:rsidR="00715CCB" w:rsidRPr="00EA3E61" w:rsidRDefault="00715CCB" w:rsidP="00FD3546">
      <w:pPr>
        <w:pStyle w:val="Title"/>
        <w:jc w:val="left"/>
        <w:rPr>
          <w:sz w:val="22"/>
          <w:szCs w:val="22"/>
          <w:lang w:val="en-US"/>
        </w:rPr>
      </w:pPr>
      <w:r>
        <w:rPr>
          <w:noProof/>
          <w:lang w:val="en-US"/>
        </w:rPr>
        <w:drawing>
          <wp:anchor distT="0" distB="0" distL="114300" distR="114300" simplePos="0" relativeHeight="251658241" behindDoc="0" locked="0" layoutInCell="1" allowOverlap="1" wp14:anchorId="0A97D4FD" wp14:editId="00D15ADA">
            <wp:simplePos x="0" y="0"/>
            <wp:positionH relativeFrom="column">
              <wp:posOffset>4055110</wp:posOffset>
            </wp:positionH>
            <wp:positionV relativeFrom="paragraph">
              <wp:posOffset>0</wp:posOffset>
            </wp:positionV>
            <wp:extent cx="2590800" cy="649224"/>
            <wp:effectExtent l="0" t="0" r="0" b="0"/>
            <wp:wrapSquare wrapText="bothSides"/>
            <wp:docPr id="11" name="Picture 1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0800" cy="649224"/>
                    </a:xfrm>
                    <a:prstGeom prst="rect">
                      <a:avLst/>
                    </a:prstGeom>
                  </pic:spPr>
                </pic:pic>
              </a:graphicData>
            </a:graphic>
          </wp:anchor>
        </w:drawing>
      </w:r>
      <w:r w:rsidR="00FD3546">
        <w:rPr>
          <w:lang w:val="en-US"/>
        </w:rPr>
        <w:br w:type="textWrapping" w:clear="all"/>
      </w:r>
    </w:p>
    <w:p w14:paraId="16AA2426" w14:textId="39796D46" w:rsidR="00A45CEE" w:rsidRDefault="00884493" w:rsidP="00715CCB">
      <w:pPr>
        <w:pStyle w:val="Title"/>
        <w:pBdr>
          <w:top w:val="single" w:sz="12" w:space="1" w:color="004F6B" w:themeColor="accent1"/>
          <w:bottom w:val="single" w:sz="12" w:space="1" w:color="004F6B" w:themeColor="accent1"/>
        </w:pBdr>
        <w:rPr>
          <w:lang w:val="en-US"/>
        </w:rPr>
      </w:pPr>
      <w:r>
        <w:rPr>
          <w:lang w:val="en-US"/>
        </w:rPr>
        <w:t>Healthwatch Surrey Strategy</w:t>
      </w:r>
    </w:p>
    <w:p w14:paraId="250257A6" w14:textId="78F947F6" w:rsidR="00884493" w:rsidRPr="00170E24" w:rsidRDefault="00884493" w:rsidP="00170E24">
      <w:pPr>
        <w:pStyle w:val="Subtitle"/>
        <w:pBdr>
          <w:top w:val="single" w:sz="12" w:space="1" w:color="004F6B" w:themeColor="accent1"/>
          <w:bottom w:val="single" w:sz="12" w:space="1" w:color="004F6B" w:themeColor="accent1"/>
        </w:pBdr>
        <w:rPr>
          <w:lang w:val="en-US"/>
        </w:rPr>
      </w:pPr>
      <w:r>
        <w:rPr>
          <w:lang w:val="en-US"/>
        </w:rPr>
        <w:t>2025-2026</w:t>
      </w:r>
    </w:p>
    <w:p w14:paraId="11CE8E41" w14:textId="77777777" w:rsidR="00F60675" w:rsidRDefault="00F60675" w:rsidP="00F60675">
      <w:pPr>
        <w:rPr>
          <w:b/>
          <w:bCs/>
          <w:color w:val="004F6B" w:themeColor="text2"/>
          <w:sz w:val="22"/>
        </w:rPr>
      </w:pPr>
    </w:p>
    <w:p w14:paraId="54850771" w14:textId="038B4B25" w:rsidR="00F60675" w:rsidRPr="00F60675" w:rsidRDefault="00F60675" w:rsidP="00F60675">
      <w:pPr>
        <w:shd w:val="clear" w:color="auto" w:fill="E5F4FB" w:themeFill="accent6" w:themeFillTint="33"/>
        <w:rPr>
          <w:b/>
          <w:bCs/>
          <w:color w:val="004F6B" w:themeColor="text2"/>
          <w:szCs w:val="24"/>
        </w:rPr>
      </w:pPr>
      <w:r w:rsidRPr="00F60675">
        <w:rPr>
          <w:b/>
          <w:bCs/>
          <w:color w:val="004F6B" w:themeColor="text2"/>
          <w:szCs w:val="24"/>
        </w:rPr>
        <w:t>Our Mission</w:t>
      </w:r>
    </w:p>
    <w:p w14:paraId="0E7B56D1" w14:textId="77777777" w:rsidR="00F60675" w:rsidRPr="00B13371" w:rsidRDefault="00F60675" w:rsidP="00F60675">
      <w:pPr>
        <w:shd w:val="clear" w:color="auto" w:fill="E5F4FB" w:themeFill="accent6" w:themeFillTint="33"/>
        <w:rPr>
          <w:color w:val="004F6B" w:themeColor="text2"/>
          <w:sz w:val="22"/>
        </w:rPr>
      </w:pPr>
      <w:r w:rsidRPr="00B13371">
        <w:rPr>
          <w:color w:val="004F6B" w:themeColor="text2"/>
          <w:sz w:val="22"/>
        </w:rPr>
        <w:t>Healthwatch Surrey champions the voice of local people to shape, improve and get the best from NHS, health and social care services.</w:t>
      </w:r>
    </w:p>
    <w:p w14:paraId="0E4AA61A" w14:textId="77777777" w:rsidR="00F60675" w:rsidRPr="00F60675" w:rsidRDefault="00F60675" w:rsidP="00F60675">
      <w:pPr>
        <w:shd w:val="clear" w:color="auto" w:fill="BCFFF0" w:themeFill="accent5" w:themeFillTint="33"/>
        <w:rPr>
          <w:b/>
          <w:bCs/>
          <w:color w:val="004F6B" w:themeColor="text2"/>
          <w:szCs w:val="24"/>
        </w:rPr>
      </w:pPr>
      <w:r w:rsidRPr="00F60675">
        <w:rPr>
          <w:b/>
          <w:bCs/>
          <w:color w:val="004F6B" w:themeColor="text2"/>
          <w:szCs w:val="24"/>
        </w:rPr>
        <w:t>How we work</w:t>
      </w:r>
    </w:p>
    <w:p w14:paraId="60D2DF20" w14:textId="77777777" w:rsidR="00F60675" w:rsidRDefault="00F60675" w:rsidP="00F60675">
      <w:pPr>
        <w:shd w:val="clear" w:color="auto" w:fill="BCFFF0" w:themeFill="accent5" w:themeFillTint="33"/>
        <w:rPr>
          <w:color w:val="004F6B" w:themeColor="text2"/>
          <w:sz w:val="22"/>
        </w:rPr>
      </w:pPr>
      <w:r w:rsidRPr="00537F20">
        <w:rPr>
          <w:color w:val="004F6B" w:themeColor="text2"/>
          <w:sz w:val="22"/>
        </w:rPr>
        <w:t>Healthwatch Surrey champions the voice of local people to shape, improve and get the best from NHS, health and social care services. We are independent and have statutory powers to make sure decision makers listen to the experiences of local people.</w:t>
      </w:r>
    </w:p>
    <w:p w14:paraId="14C6CADC" w14:textId="77777777" w:rsidR="00F60675" w:rsidRDefault="00F60675" w:rsidP="00F60675">
      <w:pPr>
        <w:shd w:val="clear" w:color="auto" w:fill="BCFFF0" w:themeFill="accent5" w:themeFillTint="33"/>
        <w:rPr>
          <w:color w:val="004F6B" w:themeColor="text2"/>
          <w:sz w:val="22"/>
        </w:rPr>
      </w:pPr>
    </w:p>
    <w:p w14:paraId="2961138B" w14:textId="77777777" w:rsidR="00F60675" w:rsidRPr="005B4F6C" w:rsidRDefault="00F60675" w:rsidP="00F60675">
      <w:pPr>
        <w:shd w:val="clear" w:color="auto" w:fill="BCFFF0" w:themeFill="accent5" w:themeFillTint="33"/>
        <w:rPr>
          <w:color w:val="004F6B" w:themeColor="text2"/>
          <w:sz w:val="22"/>
        </w:rPr>
      </w:pPr>
      <w:r w:rsidRPr="005B4F6C">
        <w:rPr>
          <w:color w:val="004F6B" w:themeColor="text2"/>
          <w:sz w:val="22"/>
        </w:rPr>
        <w:t xml:space="preserve">We passionately believe that listening and responding to local people’s experiences is vital to create health and social care services that meet the needs of people in Surrey. We seek out people’s experiences of health and care services, particularly from people whose voices are seldom heard, who might be at risk of health inequalities and whose needs are not met by current services. We share our findings publicly and with service providers and commissioners to influence and challenge current provision and </w:t>
      </w:r>
      <w:proofErr w:type="gramStart"/>
      <w:r w:rsidRPr="005B4F6C">
        <w:rPr>
          <w:color w:val="004F6B" w:themeColor="text2"/>
          <w:sz w:val="22"/>
        </w:rPr>
        <w:t>future plans</w:t>
      </w:r>
      <w:proofErr w:type="gramEnd"/>
      <w:r w:rsidRPr="005B4F6C">
        <w:rPr>
          <w:color w:val="004F6B" w:themeColor="text2"/>
          <w:sz w:val="22"/>
        </w:rPr>
        <w:t>.</w:t>
      </w:r>
    </w:p>
    <w:p w14:paraId="0C378920" w14:textId="77777777" w:rsidR="00F60675" w:rsidRDefault="00F60675" w:rsidP="00F60675">
      <w:pPr>
        <w:shd w:val="clear" w:color="auto" w:fill="BCFFF0" w:themeFill="accent5" w:themeFillTint="33"/>
        <w:rPr>
          <w:color w:val="004F6B" w:themeColor="text2"/>
          <w:sz w:val="22"/>
        </w:rPr>
      </w:pPr>
    </w:p>
    <w:p w14:paraId="49944AFE" w14:textId="77777777" w:rsidR="00F60675" w:rsidRPr="005B4F6C" w:rsidRDefault="00F60675" w:rsidP="00F60675">
      <w:pPr>
        <w:shd w:val="clear" w:color="auto" w:fill="BCFFF0" w:themeFill="accent5" w:themeFillTint="33"/>
        <w:rPr>
          <w:color w:val="004F6B" w:themeColor="text2"/>
          <w:sz w:val="22"/>
        </w:rPr>
      </w:pPr>
      <w:r w:rsidRPr="005B4F6C">
        <w:rPr>
          <w:color w:val="004F6B" w:themeColor="text2"/>
          <w:sz w:val="22"/>
        </w:rPr>
        <w:t>We also provide reliable and trustworthy information and signposting about local health and social care services to help people get the support they need.</w:t>
      </w:r>
    </w:p>
    <w:p w14:paraId="077AD5CF" w14:textId="77777777" w:rsidR="00F60675" w:rsidRPr="00F60675" w:rsidRDefault="00F60675" w:rsidP="00CD7E06">
      <w:pPr>
        <w:shd w:val="clear" w:color="auto" w:fill="D4F2B4" w:themeFill="accent3" w:themeFillTint="66"/>
        <w:rPr>
          <w:b/>
          <w:bCs/>
          <w:color w:val="004F6B" w:themeColor="text2"/>
          <w:szCs w:val="24"/>
        </w:rPr>
      </w:pPr>
      <w:r w:rsidRPr="00F60675">
        <w:rPr>
          <w:b/>
          <w:bCs/>
          <w:color w:val="004F6B" w:themeColor="text2"/>
          <w:szCs w:val="24"/>
        </w:rPr>
        <w:t>Our approach to fulfilling our contractual statutory obligations</w:t>
      </w:r>
    </w:p>
    <w:tbl>
      <w:tblPr>
        <w:tblStyle w:val="TableGrid"/>
        <w:tblW w:w="5100" w:type="pc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5337"/>
        <w:gridCol w:w="5338"/>
      </w:tblGrid>
      <w:tr w:rsidR="00F60675" w14:paraId="47753F4B" w14:textId="77777777" w:rsidTr="00CD7E06">
        <w:tc>
          <w:tcPr>
            <w:tcW w:w="5228" w:type="dxa"/>
          </w:tcPr>
          <w:p w14:paraId="623440E5" w14:textId="77777777" w:rsidR="00F60675" w:rsidRDefault="00F60675" w:rsidP="00CD7E06">
            <w:pPr>
              <w:shd w:val="clear" w:color="auto" w:fill="D4F2B4" w:themeFill="accent3" w:themeFillTint="66"/>
              <w:rPr>
                <w:b/>
                <w:bCs/>
                <w:color w:val="004F6B" w:themeColor="text2"/>
                <w:sz w:val="22"/>
              </w:rPr>
            </w:pPr>
            <w:r w:rsidRPr="00E75B87">
              <w:rPr>
                <w:b/>
                <w:bCs/>
                <w:color w:val="004F6B" w:themeColor="text2"/>
                <w:sz w:val="22"/>
              </w:rPr>
              <w:t>Evidence, research and influencing</w:t>
            </w:r>
          </w:p>
          <w:p w14:paraId="642FCD44" w14:textId="163529F0" w:rsidR="00F60675" w:rsidRDefault="00F60675" w:rsidP="00CD7E06">
            <w:pPr>
              <w:shd w:val="clear" w:color="auto" w:fill="D4F2B4" w:themeFill="accent3" w:themeFillTint="66"/>
            </w:pPr>
            <w:r w:rsidRPr="00F418DF">
              <w:rPr>
                <w:color w:val="004F6B" w:themeColor="text2"/>
                <w:sz w:val="22"/>
              </w:rPr>
              <w:t>E</w:t>
            </w:r>
            <w:r w:rsidRPr="00E75B87">
              <w:rPr>
                <w:color w:val="004F6B" w:themeColor="text2"/>
                <w:sz w:val="22"/>
              </w:rPr>
              <w:t>stablish</w:t>
            </w:r>
            <w:r w:rsidRPr="00F418DF">
              <w:rPr>
                <w:color w:val="004F6B" w:themeColor="text2"/>
                <w:sz w:val="22"/>
              </w:rPr>
              <w:t xml:space="preserve"> </w:t>
            </w:r>
            <w:r w:rsidRPr="00E75B87">
              <w:rPr>
                <w:color w:val="004F6B" w:themeColor="text2"/>
                <w:sz w:val="22"/>
              </w:rPr>
              <w:t>evidence, provide reports and make recommendations about how services could</w:t>
            </w:r>
            <w:r w:rsidRPr="00F418DF">
              <w:rPr>
                <w:color w:val="004F6B" w:themeColor="text2"/>
                <w:sz w:val="22"/>
              </w:rPr>
              <w:t xml:space="preserve"> </w:t>
            </w:r>
            <w:r w:rsidRPr="00E75B87">
              <w:rPr>
                <w:color w:val="004F6B" w:themeColor="text2"/>
                <w:sz w:val="22"/>
              </w:rPr>
              <w:t>or should be improved, both for use locally to inform the Joint Strategic Needs Assessments (JSNA) and Joint Health and Wellbeing Strategy</w:t>
            </w:r>
            <w:r w:rsidRPr="00F418DF">
              <w:rPr>
                <w:color w:val="004F6B" w:themeColor="text2"/>
                <w:sz w:val="22"/>
              </w:rPr>
              <w:t xml:space="preserve"> and all providers and commissioners as well as nationally through its</w:t>
            </w:r>
            <w:r w:rsidRPr="00F418DF">
              <w:rPr>
                <w:b/>
                <w:bCs/>
                <w:color w:val="004F6B" w:themeColor="text2"/>
                <w:sz w:val="22"/>
              </w:rPr>
              <w:t xml:space="preserve"> </w:t>
            </w:r>
            <w:r w:rsidRPr="00F418DF">
              <w:rPr>
                <w:color w:val="004F6B" w:themeColor="text2"/>
                <w:sz w:val="22"/>
              </w:rPr>
              <w:t>Annual Report to Local Healthwatch England.</w:t>
            </w:r>
          </w:p>
        </w:tc>
        <w:tc>
          <w:tcPr>
            <w:tcW w:w="5228" w:type="dxa"/>
          </w:tcPr>
          <w:p w14:paraId="285B692C" w14:textId="77777777" w:rsidR="00F60675" w:rsidRPr="00F418DF" w:rsidRDefault="00F60675" w:rsidP="00CD7E06">
            <w:pPr>
              <w:shd w:val="clear" w:color="auto" w:fill="D4F2B4" w:themeFill="accent3" w:themeFillTint="66"/>
              <w:rPr>
                <w:b/>
                <w:bCs/>
                <w:color w:val="004F6B" w:themeColor="text2"/>
                <w:sz w:val="22"/>
              </w:rPr>
            </w:pPr>
            <w:r w:rsidRPr="001C063C">
              <w:rPr>
                <w:b/>
                <w:bCs/>
                <w:color w:val="004F6B" w:themeColor="text2"/>
                <w:sz w:val="22"/>
              </w:rPr>
              <w:t xml:space="preserve">Community engagement </w:t>
            </w:r>
          </w:p>
          <w:p w14:paraId="23E6A9CA" w14:textId="7B767E2C" w:rsidR="00F60675" w:rsidRDefault="00F60675" w:rsidP="00CD7E06">
            <w:pPr>
              <w:shd w:val="clear" w:color="auto" w:fill="D4F2B4" w:themeFill="accent3" w:themeFillTint="66"/>
              <w:rPr>
                <w:color w:val="004F6B" w:themeColor="text2"/>
                <w:sz w:val="22"/>
              </w:rPr>
            </w:pPr>
            <w:r w:rsidRPr="00523F0A">
              <w:rPr>
                <w:color w:val="004F6B" w:themeColor="text2"/>
                <w:sz w:val="22"/>
              </w:rPr>
              <w:t>Promotion of and support for the active engagement of people in the commissioning, provision and monitoring</w:t>
            </w:r>
            <w:r>
              <w:rPr>
                <w:color w:val="004F6B" w:themeColor="text2"/>
                <w:sz w:val="22"/>
              </w:rPr>
              <w:t xml:space="preserve"> </w:t>
            </w:r>
            <w:r w:rsidRPr="00523F0A">
              <w:rPr>
                <w:color w:val="004F6B" w:themeColor="text2"/>
                <w:sz w:val="22"/>
              </w:rPr>
              <w:t>of local health care and social care services by obtaining the views of people about their needs for and experiences of local services and</w:t>
            </w:r>
            <w:r>
              <w:rPr>
                <w:color w:val="004F6B" w:themeColor="text2"/>
                <w:sz w:val="22"/>
              </w:rPr>
              <w:t xml:space="preserve"> </w:t>
            </w:r>
            <w:r w:rsidRPr="00F418DF">
              <w:rPr>
                <w:color w:val="004F6B" w:themeColor="text2"/>
                <w:sz w:val="22"/>
              </w:rPr>
              <w:t>ensuring that they are enabled to be involved in these.</w:t>
            </w:r>
          </w:p>
          <w:p w14:paraId="18E294DA" w14:textId="3F0E6AFA" w:rsidR="00F60675" w:rsidRPr="00F60675" w:rsidRDefault="00F60675" w:rsidP="00CD7E06">
            <w:pPr>
              <w:shd w:val="clear" w:color="auto" w:fill="D4F2B4" w:themeFill="accent3" w:themeFillTint="66"/>
              <w:rPr>
                <w:color w:val="004F6B" w:themeColor="text2"/>
                <w:sz w:val="22"/>
              </w:rPr>
            </w:pPr>
          </w:p>
        </w:tc>
      </w:tr>
      <w:tr w:rsidR="00F60675" w14:paraId="4E30F67E" w14:textId="77777777" w:rsidTr="00CD7E06">
        <w:tc>
          <w:tcPr>
            <w:tcW w:w="5228" w:type="dxa"/>
          </w:tcPr>
          <w:p w14:paraId="23F76181" w14:textId="3C3415DA" w:rsidR="00F60675" w:rsidRPr="00F418DF" w:rsidRDefault="00F60675" w:rsidP="00CD7E06">
            <w:pPr>
              <w:shd w:val="clear" w:color="auto" w:fill="D4F2B4" w:themeFill="accent3" w:themeFillTint="66"/>
              <w:rPr>
                <w:b/>
                <w:bCs/>
                <w:color w:val="004F6B" w:themeColor="text2"/>
                <w:sz w:val="22"/>
              </w:rPr>
            </w:pPr>
            <w:r w:rsidRPr="00080ECA">
              <w:rPr>
                <w:b/>
                <w:bCs/>
                <w:color w:val="004F6B" w:themeColor="text2"/>
                <w:sz w:val="22"/>
              </w:rPr>
              <w:t>Provision of information and advice</w:t>
            </w:r>
          </w:p>
          <w:p w14:paraId="6D094C20" w14:textId="77777777" w:rsidR="00F60675" w:rsidRDefault="00F60675" w:rsidP="00CD7E06">
            <w:pPr>
              <w:shd w:val="clear" w:color="auto" w:fill="D4F2B4" w:themeFill="accent3" w:themeFillTint="66"/>
              <w:rPr>
                <w:color w:val="004F6B" w:themeColor="text2"/>
                <w:sz w:val="22"/>
              </w:rPr>
            </w:pPr>
            <w:r w:rsidRPr="00080ECA">
              <w:rPr>
                <w:color w:val="004F6B" w:themeColor="text2"/>
                <w:sz w:val="22"/>
              </w:rPr>
              <w:t>Provision of information and non-clinical advice to people about accessing health and social care</w:t>
            </w:r>
            <w:r w:rsidRPr="00F418DF">
              <w:rPr>
                <w:color w:val="004F6B" w:themeColor="text2"/>
                <w:sz w:val="22"/>
              </w:rPr>
              <w:t xml:space="preserve"> services and choice in relation to aspects of those services.</w:t>
            </w:r>
          </w:p>
          <w:p w14:paraId="3FFA9B1C" w14:textId="77777777" w:rsidR="00F60675" w:rsidRDefault="00F60675" w:rsidP="00CD7E06">
            <w:pPr>
              <w:shd w:val="clear" w:color="auto" w:fill="D4F2B4" w:themeFill="accent3" w:themeFillTint="66"/>
              <w:rPr>
                <w:color w:val="004F6B" w:themeColor="text2"/>
                <w:sz w:val="22"/>
              </w:rPr>
            </w:pPr>
          </w:p>
          <w:p w14:paraId="780A00C0" w14:textId="59506387" w:rsidR="00F60675" w:rsidRPr="00F60675" w:rsidRDefault="00F60675" w:rsidP="00CD7E06">
            <w:pPr>
              <w:shd w:val="clear" w:color="auto" w:fill="D4F2B4" w:themeFill="accent3" w:themeFillTint="66"/>
              <w:rPr>
                <w:color w:val="004F6B" w:themeColor="text2"/>
                <w:sz w:val="22"/>
              </w:rPr>
            </w:pPr>
          </w:p>
        </w:tc>
        <w:tc>
          <w:tcPr>
            <w:tcW w:w="5228" w:type="dxa"/>
          </w:tcPr>
          <w:p w14:paraId="056DC38A" w14:textId="77777777" w:rsidR="00F60675" w:rsidRPr="00F418DF" w:rsidRDefault="00F60675" w:rsidP="00CD7E06">
            <w:pPr>
              <w:shd w:val="clear" w:color="auto" w:fill="D4F2B4" w:themeFill="accent3" w:themeFillTint="66"/>
              <w:rPr>
                <w:color w:val="004F6B" w:themeColor="text2"/>
                <w:sz w:val="22"/>
              </w:rPr>
            </w:pPr>
            <w:r w:rsidRPr="00F418DF">
              <w:rPr>
                <w:b/>
                <w:bCs/>
                <w:color w:val="004F6B" w:themeColor="text2"/>
                <w:sz w:val="22"/>
              </w:rPr>
              <w:t>Independent NHS complaints advocacy</w:t>
            </w:r>
          </w:p>
          <w:p w14:paraId="32CBC428" w14:textId="23936BF9" w:rsidR="00F60675" w:rsidRPr="00F60675" w:rsidRDefault="00F60675" w:rsidP="00CD7E06">
            <w:pPr>
              <w:shd w:val="clear" w:color="auto" w:fill="D4F2B4" w:themeFill="accent3" w:themeFillTint="66"/>
              <w:rPr>
                <w:color w:val="004F6B" w:themeColor="text2"/>
              </w:rPr>
            </w:pPr>
            <w:r w:rsidRPr="00424856">
              <w:rPr>
                <w:color w:val="004F6B" w:themeColor="text2"/>
                <w:sz w:val="22"/>
              </w:rPr>
              <w:t>Provision of the independent NHS complaints advocacy service for Surrey, providing advocacy and</w:t>
            </w:r>
            <w:r w:rsidRPr="00F418DF">
              <w:rPr>
                <w:color w:val="004F6B" w:themeColor="text2"/>
                <w:sz w:val="22"/>
              </w:rPr>
              <w:t xml:space="preserve"> assistance for individuals making or intending to make an NHS complaint (which includes a complaint to the Health Service Ombudsman)’.</w:t>
            </w:r>
          </w:p>
        </w:tc>
      </w:tr>
    </w:tbl>
    <w:p w14:paraId="114995B9" w14:textId="77777777" w:rsidR="00CC7138" w:rsidRDefault="00CC7138">
      <w:pPr>
        <w:spacing w:after="160" w:line="259" w:lineRule="auto"/>
        <w:rPr>
          <w:b/>
          <w:bCs/>
          <w:color w:val="004F6B" w:themeColor="text2"/>
          <w:szCs w:val="24"/>
        </w:rPr>
      </w:pPr>
      <w:r>
        <w:rPr>
          <w:b/>
          <w:bCs/>
          <w:color w:val="004F6B" w:themeColor="text2"/>
          <w:szCs w:val="24"/>
        </w:rPr>
        <w:br w:type="page"/>
      </w:r>
    </w:p>
    <w:p w14:paraId="30D933F6" w14:textId="0C82CEF0" w:rsidR="00311F50" w:rsidRPr="00311F50" w:rsidRDefault="00311F50" w:rsidP="00311F50">
      <w:pPr>
        <w:shd w:val="clear" w:color="auto" w:fill="F5B1D5" w:themeFill="accent2" w:themeFillTint="66"/>
        <w:rPr>
          <w:b/>
          <w:bCs/>
          <w:color w:val="004F6B" w:themeColor="text2"/>
          <w:szCs w:val="24"/>
        </w:rPr>
      </w:pPr>
      <w:r w:rsidRPr="00311F50">
        <w:rPr>
          <w:b/>
          <w:bCs/>
          <w:color w:val="004F6B" w:themeColor="text2"/>
          <w:szCs w:val="24"/>
        </w:rPr>
        <w:lastRenderedPageBreak/>
        <w:t>Our workplan- how we deliver our strategy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B1D5" w:themeFill="accent2" w:themeFillTint="66"/>
        <w:tblCellMar>
          <w:top w:w="57" w:type="dxa"/>
          <w:left w:w="170" w:type="dxa"/>
          <w:bottom w:w="57" w:type="dxa"/>
          <w:right w:w="170" w:type="dxa"/>
        </w:tblCellMar>
        <w:tblLook w:val="04A0" w:firstRow="1" w:lastRow="0" w:firstColumn="1" w:lastColumn="0" w:noHBand="0" w:noVBand="1"/>
      </w:tblPr>
      <w:tblGrid>
        <w:gridCol w:w="3484"/>
        <w:gridCol w:w="3493"/>
        <w:gridCol w:w="3489"/>
      </w:tblGrid>
      <w:tr w:rsidR="00CC7138" w14:paraId="41789FF6" w14:textId="77777777" w:rsidTr="00CD7E06">
        <w:tc>
          <w:tcPr>
            <w:tcW w:w="10665" w:type="dxa"/>
            <w:gridSpan w:val="3"/>
            <w:shd w:val="clear" w:color="auto" w:fill="F5B1D5" w:themeFill="accent2" w:themeFillTint="66"/>
          </w:tcPr>
          <w:p w14:paraId="2D6CC970" w14:textId="10DECA18" w:rsidR="00CC7138" w:rsidRDefault="00CC7138" w:rsidP="00CC7138">
            <w:pPr>
              <w:shd w:val="clear" w:color="auto" w:fill="F5B1D5" w:themeFill="accent2" w:themeFillTint="66"/>
              <w:rPr>
                <w:color w:val="004F6B" w:themeColor="text2"/>
                <w:sz w:val="22"/>
              </w:rPr>
            </w:pPr>
            <w:r w:rsidRPr="006B6C7A">
              <w:rPr>
                <w:b/>
                <w:bCs/>
                <w:color w:val="004F6B" w:themeColor="text2"/>
                <w:sz w:val="22"/>
              </w:rPr>
              <w:t>Provision of information and advice</w:t>
            </w:r>
          </w:p>
        </w:tc>
      </w:tr>
      <w:tr w:rsidR="00311F50" w14:paraId="082EE728" w14:textId="77777777" w:rsidTr="00CD7E06">
        <w:tc>
          <w:tcPr>
            <w:tcW w:w="3554" w:type="dxa"/>
            <w:shd w:val="clear" w:color="auto" w:fill="F5B1D5" w:themeFill="accent2" w:themeFillTint="66"/>
          </w:tcPr>
          <w:p w14:paraId="7E5C07CB" w14:textId="5DD557A4" w:rsidR="002967EE" w:rsidRPr="00311F50" w:rsidRDefault="002967EE" w:rsidP="00311F50">
            <w:pPr>
              <w:shd w:val="clear" w:color="auto" w:fill="F5B1D5" w:themeFill="accent2" w:themeFillTint="66"/>
              <w:rPr>
                <w:color w:val="004F6B" w:themeColor="text2"/>
                <w:sz w:val="22"/>
              </w:rPr>
            </w:pPr>
            <w:r w:rsidRPr="002F07EC">
              <w:rPr>
                <w:color w:val="004F6B" w:themeColor="text2"/>
                <w:sz w:val="22"/>
              </w:rPr>
              <w:t>Continue to keep dedicated area of website up to date with latest information and advice</w:t>
            </w:r>
            <w:r>
              <w:rPr>
                <w:color w:val="004F6B" w:themeColor="text2"/>
                <w:sz w:val="22"/>
              </w:rPr>
              <w:t>.</w:t>
            </w:r>
          </w:p>
        </w:tc>
        <w:tc>
          <w:tcPr>
            <w:tcW w:w="3555" w:type="dxa"/>
            <w:shd w:val="clear" w:color="auto" w:fill="F5B1D5" w:themeFill="accent2" w:themeFillTint="66"/>
          </w:tcPr>
          <w:p w14:paraId="7AC5716B" w14:textId="77777777" w:rsidR="00311F50" w:rsidRDefault="00311F50" w:rsidP="00311F50">
            <w:pPr>
              <w:shd w:val="clear" w:color="auto" w:fill="F5B1D5" w:themeFill="accent2" w:themeFillTint="66"/>
              <w:rPr>
                <w:color w:val="004F6B" w:themeColor="text2"/>
                <w:sz w:val="22"/>
              </w:rPr>
            </w:pPr>
            <w:r w:rsidRPr="002F07EC">
              <w:rPr>
                <w:color w:val="004F6B" w:themeColor="text2"/>
                <w:sz w:val="22"/>
              </w:rPr>
              <w:t xml:space="preserve">Continue to </w:t>
            </w:r>
            <w:r>
              <w:rPr>
                <w:color w:val="004F6B" w:themeColor="text2"/>
                <w:sz w:val="22"/>
              </w:rPr>
              <w:t>operate Helpdesk Monday-Friday.</w:t>
            </w:r>
          </w:p>
          <w:p w14:paraId="2D023B0E" w14:textId="77777777" w:rsidR="00311F50" w:rsidRPr="002F07EC" w:rsidRDefault="00311F50" w:rsidP="00311F50">
            <w:pPr>
              <w:shd w:val="clear" w:color="auto" w:fill="F5B1D5" w:themeFill="accent2" w:themeFillTint="66"/>
              <w:rPr>
                <w:color w:val="004F6B" w:themeColor="text2"/>
                <w:sz w:val="22"/>
              </w:rPr>
            </w:pPr>
          </w:p>
          <w:p w14:paraId="2BA3E1F8" w14:textId="77777777" w:rsidR="00311F50" w:rsidRDefault="00311F50" w:rsidP="00311F50">
            <w:pPr>
              <w:shd w:val="clear" w:color="auto" w:fill="F5B1D5" w:themeFill="accent2" w:themeFillTint="66"/>
            </w:pPr>
          </w:p>
        </w:tc>
        <w:tc>
          <w:tcPr>
            <w:tcW w:w="3556" w:type="dxa"/>
            <w:shd w:val="clear" w:color="auto" w:fill="F5B1D5" w:themeFill="accent2" w:themeFillTint="66"/>
          </w:tcPr>
          <w:p w14:paraId="4920BE3C" w14:textId="2FE5F357" w:rsidR="00311F50" w:rsidRPr="00CD7E06" w:rsidRDefault="00311F50" w:rsidP="00311F50">
            <w:pPr>
              <w:shd w:val="clear" w:color="auto" w:fill="F5B1D5" w:themeFill="accent2" w:themeFillTint="66"/>
              <w:rPr>
                <w:color w:val="004F6B" w:themeColor="text2"/>
                <w:sz w:val="22"/>
              </w:rPr>
            </w:pPr>
            <w:r>
              <w:rPr>
                <w:color w:val="004F6B" w:themeColor="text2"/>
                <w:sz w:val="22"/>
              </w:rPr>
              <w:t>Actively promote information and advice service with system and VCSE colleagues.</w:t>
            </w:r>
          </w:p>
        </w:tc>
      </w:tr>
      <w:tr w:rsidR="00CC7138" w14:paraId="5ED94259" w14:textId="77777777" w:rsidTr="00CD7E06">
        <w:tc>
          <w:tcPr>
            <w:tcW w:w="10665" w:type="dxa"/>
            <w:gridSpan w:val="3"/>
            <w:shd w:val="clear" w:color="auto" w:fill="F5B1D5" w:themeFill="accent2" w:themeFillTint="66"/>
          </w:tcPr>
          <w:p w14:paraId="7A74687B" w14:textId="737B01BA" w:rsidR="00CC7138" w:rsidRDefault="00CC7138" w:rsidP="00311F50">
            <w:pPr>
              <w:shd w:val="clear" w:color="auto" w:fill="F5B1D5" w:themeFill="accent2" w:themeFillTint="66"/>
              <w:rPr>
                <w:color w:val="004F6B" w:themeColor="text2"/>
                <w:sz w:val="22"/>
              </w:rPr>
            </w:pPr>
            <w:r>
              <w:rPr>
                <w:b/>
                <w:bCs/>
                <w:color w:val="004F6B" w:themeColor="text2"/>
                <w:sz w:val="22"/>
              </w:rPr>
              <w:t>Evidence, research and influencing</w:t>
            </w:r>
          </w:p>
        </w:tc>
      </w:tr>
      <w:tr w:rsidR="00311F50" w14:paraId="1A7CADF7" w14:textId="77777777" w:rsidTr="00CD7E06">
        <w:tc>
          <w:tcPr>
            <w:tcW w:w="3554" w:type="dxa"/>
            <w:shd w:val="clear" w:color="auto" w:fill="F5B1D5" w:themeFill="accent2" w:themeFillTint="66"/>
          </w:tcPr>
          <w:p w14:paraId="25E2C06A" w14:textId="77777777" w:rsidR="00311F50" w:rsidRDefault="00311F50" w:rsidP="00311F50">
            <w:pPr>
              <w:shd w:val="clear" w:color="auto" w:fill="F5B1D5" w:themeFill="accent2" w:themeFillTint="66"/>
              <w:rPr>
                <w:color w:val="004F6B" w:themeColor="text2"/>
                <w:sz w:val="22"/>
              </w:rPr>
            </w:pPr>
            <w:r w:rsidRPr="00FF22D1">
              <w:rPr>
                <w:color w:val="004F6B" w:themeColor="text2"/>
                <w:sz w:val="22"/>
              </w:rPr>
              <w:t xml:space="preserve">4 research projects per year </w:t>
            </w:r>
            <w:r>
              <w:rPr>
                <w:color w:val="004F6B" w:themeColor="text2"/>
                <w:sz w:val="22"/>
              </w:rPr>
              <w:t xml:space="preserve">(1 per thematic priority) </w:t>
            </w:r>
            <w:r w:rsidRPr="00FF22D1">
              <w:rPr>
                <w:color w:val="004F6B" w:themeColor="text2"/>
                <w:sz w:val="22"/>
              </w:rPr>
              <w:t>aimed at exploring how services could or should be improved for some of the priority populations of Surrey</w:t>
            </w:r>
            <w:r>
              <w:rPr>
                <w:color w:val="004F6B" w:themeColor="text2"/>
                <w:sz w:val="22"/>
              </w:rPr>
              <w:t>.</w:t>
            </w:r>
          </w:p>
          <w:p w14:paraId="1DABA5FC" w14:textId="77777777" w:rsidR="00311F50" w:rsidRDefault="00311F50" w:rsidP="00311F50">
            <w:pPr>
              <w:shd w:val="clear" w:color="auto" w:fill="F5B1D5" w:themeFill="accent2" w:themeFillTint="66"/>
              <w:rPr>
                <w:color w:val="004F6B" w:themeColor="text2"/>
                <w:sz w:val="22"/>
              </w:rPr>
            </w:pPr>
          </w:p>
          <w:p w14:paraId="6D8CACB4" w14:textId="246DC5C2" w:rsidR="00311F50" w:rsidRPr="00311F50" w:rsidRDefault="00311F50" w:rsidP="00311F50">
            <w:pPr>
              <w:shd w:val="clear" w:color="auto" w:fill="F5B1D5" w:themeFill="accent2" w:themeFillTint="66"/>
              <w:rPr>
                <w:color w:val="004F6B" w:themeColor="text2"/>
                <w:sz w:val="22"/>
              </w:rPr>
            </w:pPr>
          </w:p>
        </w:tc>
        <w:tc>
          <w:tcPr>
            <w:tcW w:w="3555" w:type="dxa"/>
            <w:shd w:val="clear" w:color="auto" w:fill="F5B1D5" w:themeFill="accent2" w:themeFillTint="66"/>
          </w:tcPr>
          <w:p w14:paraId="192CA528" w14:textId="77777777" w:rsidR="00311F50" w:rsidRDefault="00311F50" w:rsidP="00311F50">
            <w:pPr>
              <w:shd w:val="clear" w:color="auto" w:fill="F5B1D5" w:themeFill="accent2" w:themeFillTint="66"/>
              <w:rPr>
                <w:color w:val="004F6B" w:themeColor="text2"/>
                <w:sz w:val="22"/>
              </w:rPr>
            </w:pPr>
            <w:r>
              <w:rPr>
                <w:color w:val="004F6B" w:themeColor="text2"/>
                <w:sz w:val="22"/>
              </w:rPr>
              <w:t>Share evidence (where we hold relevant information) at the request of providers, commissioners, Healthwatch England and CQC, and contribute to JSNA.</w:t>
            </w:r>
          </w:p>
          <w:p w14:paraId="0E641B68" w14:textId="77777777" w:rsidR="00311F50" w:rsidRDefault="00311F50" w:rsidP="00311F50">
            <w:pPr>
              <w:shd w:val="clear" w:color="auto" w:fill="F5B1D5" w:themeFill="accent2" w:themeFillTint="66"/>
              <w:rPr>
                <w:color w:val="004F6B" w:themeColor="text2"/>
                <w:sz w:val="22"/>
              </w:rPr>
            </w:pPr>
          </w:p>
          <w:p w14:paraId="3A753CAB" w14:textId="471D1072" w:rsidR="00311F50" w:rsidRPr="00311F50" w:rsidRDefault="00311F50" w:rsidP="00311F50">
            <w:pPr>
              <w:shd w:val="clear" w:color="auto" w:fill="F5B1D5" w:themeFill="accent2" w:themeFillTint="66"/>
              <w:rPr>
                <w:color w:val="004F6B" w:themeColor="text2"/>
                <w:sz w:val="22"/>
              </w:rPr>
            </w:pPr>
          </w:p>
        </w:tc>
        <w:tc>
          <w:tcPr>
            <w:tcW w:w="3556" w:type="dxa"/>
            <w:shd w:val="clear" w:color="auto" w:fill="F5B1D5" w:themeFill="accent2" w:themeFillTint="66"/>
          </w:tcPr>
          <w:p w14:paraId="65CA3C6A" w14:textId="77FDBC6D" w:rsidR="00CC7138" w:rsidRPr="00311F50" w:rsidRDefault="00311F50" w:rsidP="00311F50">
            <w:pPr>
              <w:shd w:val="clear" w:color="auto" w:fill="F5B1D5" w:themeFill="accent2" w:themeFillTint="66"/>
              <w:rPr>
                <w:color w:val="004F6B" w:themeColor="text2"/>
                <w:sz w:val="22"/>
              </w:rPr>
            </w:pPr>
            <w:r>
              <w:rPr>
                <w:color w:val="004F6B" w:themeColor="text2"/>
                <w:sz w:val="22"/>
              </w:rPr>
              <w:t>Capture and report on the impact of providing evidence and research quarterly to Luminus Board and Healthwatch Commissioner to demonstrate how we are influencing service improvement.</w:t>
            </w:r>
          </w:p>
        </w:tc>
      </w:tr>
      <w:tr w:rsidR="00CC7138" w14:paraId="181EFA2D" w14:textId="77777777" w:rsidTr="00CD7E06">
        <w:tc>
          <w:tcPr>
            <w:tcW w:w="10665" w:type="dxa"/>
            <w:gridSpan w:val="3"/>
            <w:shd w:val="clear" w:color="auto" w:fill="F5B1D5" w:themeFill="accent2" w:themeFillTint="66"/>
          </w:tcPr>
          <w:p w14:paraId="05F160E6" w14:textId="41EC4782" w:rsidR="00CC7138" w:rsidRDefault="00CC7138" w:rsidP="00311F50">
            <w:pPr>
              <w:shd w:val="clear" w:color="auto" w:fill="F5B1D5" w:themeFill="accent2" w:themeFillTint="66"/>
              <w:rPr>
                <w:color w:val="004F6B" w:themeColor="text2"/>
                <w:sz w:val="22"/>
              </w:rPr>
            </w:pPr>
            <w:r w:rsidRPr="00CC7138">
              <w:rPr>
                <w:b/>
                <w:bCs/>
                <w:color w:val="004F6B" w:themeColor="text2"/>
                <w:sz w:val="22"/>
              </w:rPr>
              <w:t>Community engagement</w:t>
            </w:r>
          </w:p>
        </w:tc>
      </w:tr>
      <w:tr w:rsidR="00F540CA" w14:paraId="786DFB1B" w14:textId="77777777" w:rsidTr="00CD7E06">
        <w:tc>
          <w:tcPr>
            <w:tcW w:w="3554" w:type="dxa"/>
            <w:shd w:val="clear" w:color="auto" w:fill="F5B1D5" w:themeFill="accent2" w:themeFillTint="66"/>
          </w:tcPr>
          <w:p w14:paraId="7193A432" w14:textId="5E57791E" w:rsidR="00F540CA" w:rsidRPr="00CC7138" w:rsidRDefault="00F540CA" w:rsidP="00311F50">
            <w:pPr>
              <w:shd w:val="clear" w:color="auto" w:fill="F5B1D5" w:themeFill="accent2" w:themeFillTint="66"/>
              <w:rPr>
                <w:b/>
                <w:bCs/>
                <w:color w:val="004F6B" w:themeColor="text2"/>
                <w:sz w:val="22"/>
              </w:rPr>
            </w:pPr>
            <w:r>
              <w:rPr>
                <w:color w:val="004F6B" w:themeColor="text2"/>
                <w:sz w:val="22"/>
              </w:rPr>
              <w:t xml:space="preserve">Complete a series of engagement events as per </w:t>
            </w:r>
            <w:hyperlink w:anchor="_Community_engagement_1" w:history="1">
              <w:r w:rsidRPr="000E7773">
                <w:rPr>
                  <w:rStyle w:val="Hyperlink"/>
                  <w:sz w:val="22"/>
                </w:rPr>
                <w:t>Com</w:t>
              </w:r>
              <w:r w:rsidRPr="000E7773">
                <w:rPr>
                  <w:rStyle w:val="Hyperlink"/>
                  <w:sz w:val="22"/>
                </w:rPr>
                <w:t>m</w:t>
              </w:r>
              <w:r w:rsidRPr="000E7773">
                <w:rPr>
                  <w:rStyle w:val="Hyperlink"/>
                  <w:sz w:val="22"/>
                </w:rPr>
                <w:t>unity Engagement strategy</w:t>
              </w:r>
            </w:hyperlink>
          </w:p>
        </w:tc>
        <w:tc>
          <w:tcPr>
            <w:tcW w:w="3555" w:type="dxa"/>
            <w:shd w:val="clear" w:color="auto" w:fill="F5B1D5" w:themeFill="accent2" w:themeFillTint="66"/>
          </w:tcPr>
          <w:p w14:paraId="480F10A5" w14:textId="3A1C7FD7" w:rsidR="00F540CA" w:rsidRPr="00CC7138" w:rsidRDefault="00F540CA" w:rsidP="00311F50">
            <w:pPr>
              <w:shd w:val="clear" w:color="auto" w:fill="F5B1D5" w:themeFill="accent2" w:themeFillTint="66"/>
              <w:rPr>
                <w:color w:val="004F6B" w:themeColor="text2"/>
                <w:sz w:val="22"/>
              </w:rPr>
            </w:pPr>
            <w:r w:rsidRPr="00CC7138">
              <w:rPr>
                <w:color w:val="004F6B" w:themeColor="text2"/>
                <w:sz w:val="22"/>
              </w:rPr>
              <w:t>Promote opportunities for volunteers to share their and peer views and experiences of services</w:t>
            </w:r>
          </w:p>
        </w:tc>
        <w:tc>
          <w:tcPr>
            <w:tcW w:w="3556" w:type="dxa"/>
            <w:vMerge w:val="restart"/>
            <w:shd w:val="clear" w:color="auto" w:fill="F5B1D5" w:themeFill="accent2" w:themeFillTint="66"/>
          </w:tcPr>
          <w:p w14:paraId="197A0066" w14:textId="30FA2373" w:rsidR="00F540CA" w:rsidRPr="002967EE" w:rsidRDefault="00F540CA" w:rsidP="002967EE">
            <w:pPr>
              <w:rPr>
                <w:color w:val="004F6B" w:themeColor="text2"/>
                <w:sz w:val="22"/>
              </w:rPr>
            </w:pPr>
            <w:r>
              <w:rPr>
                <w:color w:val="004F6B" w:themeColor="text2"/>
                <w:sz w:val="22"/>
              </w:rPr>
              <w:t>Actively promote opportunities for people to share their views and experiences of services through social media, health and social care providers, community leaders.</w:t>
            </w:r>
          </w:p>
        </w:tc>
      </w:tr>
      <w:tr w:rsidR="00F540CA" w14:paraId="188A5BE0" w14:textId="77777777" w:rsidTr="00CD7E06">
        <w:tc>
          <w:tcPr>
            <w:tcW w:w="3554" w:type="dxa"/>
            <w:shd w:val="clear" w:color="auto" w:fill="F5B1D5" w:themeFill="accent2" w:themeFillTint="66"/>
          </w:tcPr>
          <w:p w14:paraId="3F76A68A" w14:textId="2AFC5935" w:rsidR="00F540CA" w:rsidRDefault="00F540CA" w:rsidP="00311F50">
            <w:pPr>
              <w:shd w:val="clear" w:color="auto" w:fill="F5B1D5" w:themeFill="accent2" w:themeFillTint="66"/>
              <w:rPr>
                <w:color w:val="004F6B" w:themeColor="text2"/>
                <w:sz w:val="22"/>
              </w:rPr>
            </w:pPr>
            <w:r>
              <w:rPr>
                <w:color w:val="004F6B" w:themeColor="text2"/>
                <w:sz w:val="22"/>
              </w:rPr>
              <w:t xml:space="preserve">Community Cash Fund to develop community links with organisations providing support to priority populations </w:t>
            </w:r>
          </w:p>
        </w:tc>
        <w:tc>
          <w:tcPr>
            <w:tcW w:w="3555" w:type="dxa"/>
            <w:shd w:val="clear" w:color="auto" w:fill="F5B1D5" w:themeFill="accent2" w:themeFillTint="66"/>
          </w:tcPr>
          <w:p w14:paraId="2714D9A3" w14:textId="7F430717" w:rsidR="00F540CA" w:rsidRPr="00FF22D1" w:rsidRDefault="00F540CA" w:rsidP="00F540CA">
            <w:pPr>
              <w:rPr>
                <w:color w:val="004F6B" w:themeColor="text2"/>
                <w:sz w:val="22"/>
              </w:rPr>
            </w:pPr>
            <w:r>
              <w:rPr>
                <w:color w:val="004F6B" w:themeColor="text2"/>
                <w:sz w:val="22"/>
              </w:rPr>
              <w:t xml:space="preserve">Enter &amp; View visits and reports as per our </w:t>
            </w:r>
            <w:hyperlink r:id="rId12" w:history="1">
              <w:r w:rsidRPr="003079F9">
                <w:rPr>
                  <w:rStyle w:val="Hyperlink"/>
                  <w:sz w:val="22"/>
                </w:rPr>
                <w:t>Enter</w:t>
              </w:r>
              <w:r w:rsidRPr="003079F9">
                <w:rPr>
                  <w:rStyle w:val="Hyperlink"/>
                  <w:sz w:val="22"/>
                </w:rPr>
                <w:t xml:space="preserve"> </w:t>
              </w:r>
              <w:r w:rsidRPr="003079F9">
                <w:rPr>
                  <w:rStyle w:val="Hyperlink"/>
                  <w:sz w:val="22"/>
                </w:rPr>
                <w:t>&amp; View Policy</w:t>
              </w:r>
            </w:hyperlink>
          </w:p>
          <w:p w14:paraId="45DFCB8F" w14:textId="77777777" w:rsidR="00F540CA" w:rsidRPr="00CC7138" w:rsidRDefault="00F540CA" w:rsidP="00311F50">
            <w:pPr>
              <w:shd w:val="clear" w:color="auto" w:fill="F5B1D5" w:themeFill="accent2" w:themeFillTint="66"/>
              <w:rPr>
                <w:color w:val="004F6B" w:themeColor="text2"/>
                <w:sz w:val="22"/>
              </w:rPr>
            </w:pPr>
          </w:p>
        </w:tc>
        <w:tc>
          <w:tcPr>
            <w:tcW w:w="3556" w:type="dxa"/>
            <w:vMerge/>
            <w:shd w:val="clear" w:color="auto" w:fill="F5B1D5" w:themeFill="accent2" w:themeFillTint="66"/>
          </w:tcPr>
          <w:p w14:paraId="35910C1C" w14:textId="77777777" w:rsidR="00F540CA" w:rsidRDefault="00F540CA" w:rsidP="002967EE">
            <w:pPr>
              <w:rPr>
                <w:color w:val="004F6B" w:themeColor="text2"/>
                <w:sz w:val="22"/>
              </w:rPr>
            </w:pPr>
          </w:p>
        </w:tc>
      </w:tr>
      <w:tr w:rsidR="00F540CA" w14:paraId="0825B445" w14:textId="77777777" w:rsidTr="00CD7E06">
        <w:tc>
          <w:tcPr>
            <w:tcW w:w="10665" w:type="dxa"/>
            <w:gridSpan w:val="3"/>
            <w:shd w:val="clear" w:color="auto" w:fill="F5B1D5" w:themeFill="accent2" w:themeFillTint="66"/>
          </w:tcPr>
          <w:p w14:paraId="526502B5" w14:textId="202D3BF7" w:rsidR="00F540CA" w:rsidRDefault="00F540CA" w:rsidP="002967EE">
            <w:pPr>
              <w:rPr>
                <w:color w:val="004F6B" w:themeColor="text2"/>
                <w:sz w:val="22"/>
              </w:rPr>
            </w:pPr>
            <w:r w:rsidRPr="00F418DF">
              <w:rPr>
                <w:b/>
                <w:bCs/>
                <w:color w:val="004F6B" w:themeColor="text2"/>
                <w:sz w:val="22"/>
              </w:rPr>
              <w:t>Independent NHS complaints advocacy</w:t>
            </w:r>
          </w:p>
        </w:tc>
      </w:tr>
      <w:tr w:rsidR="00F540CA" w14:paraId="4BE69E7C" w14:textId="77777777" w:rsidTr="00CD7E06">
        <w:tc>
          <w:tcPr>
            <w:tcW w:w="3554" w:type="dxa"/>
            <w:shd w:val="clear" w:color="auto" w:fill="F5B1D5" w:themeFill="accent2" w:themeFillTint="66"/>
          </w:tcPr>
          <w:p w14:paraId="20D34222" w14:textId="71311561" w:rsidR="00F540CA" w:rsidRPr="00F540CA" w:rsidRDefault="00F540CA" w:rsidP="00F540CA">
            <w:pPr>
              <w:rPr>
                <w:color w:val="004F6B" w:themeColor="text2"/>
                <w:sz w:val="22"/>
              </w:rPr>
            </w:pPr>
            <w:r>
              <w:rPr>
                <w:color w:val="004F6B" w:themeColor="text2"/>
                <w:sz w:val="22"/>
              </w:rPr>
              <w:t>Actively promote the service through social media, health and social care providers, community leaders.</w:t>
            </w:r>
          </w:p>
        </w:tc>
        <w:tc>
          <w:tcPr>
            <w:tcW w:w="3555" w:type="dxa"/>
            <w:shd w:val="clear" w:color="auto" w:fill="F5B1D5" w:themeFill="accent2" w:themeFillTint="66"/>
          </w:tcPr>
          <w:p w14:paraId="639CCC92" w14:textId="0977473B" w:rsidR="00F540CA" w:rsidRDefault="00F540CA" w:rsidP="00F540CA">
            <w:pPr>
              <w:rPr>
                <w:color w:val="004F6B" w:themeColor="text2"/>
                <w:sz w:val="22"/>
              </w:rPr>
            </w:pPr>
            <w:r>
              <w:rPr>
                <w:color w:val="004F6B" w:themeColor="text2"/>
                <w:sz w:val="22"/>
              </w:rPr>
              <w:t xml:space="preserve">Demonstrate the outcomes achieved by the service through quarterly impact report. </w:t>
            </w:r>
          </w:p>
        </w:tc>
        <w:tc>
          <w:tcPr>
            <w:tcW w:w="3556" w:type="dxa"/>
            <w:shd w:val="clear" w:color="auto" w:fill="F5B1D5" w:themeFill="accent2" w:themeFillTint="66"/>
          </w:tcPr>
          <w:p w14:paraId="1160DC0D" w14:textId="77777777" w:rsidR="00F540CA" w:rsidRDefault="00F540CA" w:rsidP="002967EE">
            <w:pPr>
              <w:rPr>
                <w:color w:val="004F6B" w:themeColor="text2"/>
                <w:sz w:val="22"/>
              </w:rPr>
            </w:pPr>
          </w:p>
        </w:tc>
      </w:tr>
    </w:tbl>
    <w:p w14:paraId="425DBABC" w14:textId="4B29F00F" w:rsidR="00170E24" w:rsidRDefault="00170E24" w:rsidP="00311F50"/>
    <w:p w14:paraId="74CA730D" w14:textId="3FF44D5E" w:rsidR="00F60675" w:rsidRDefault="00F60675">
      <w:pPr>
        <w:spacing w:after="160" w:line="259" w:lineRule="auto"/>
        <w:rPr>
          <w:rFonts w:eastAsiaTheme="majorEastAsia" w:cstheme="majorBidi"/>
          <w:b/>
          <w:color w:val="004F6B" w:themeColor="text2"/>
          <w:sz w:val="32"/>
          <w:szCs w:val="26"/>
        </w:rPr>
      </w:pPr>
      <w:r>
        <w:br w:type="page"/>
      </w:r>
    </w:p>
    <w:p w14:paraId="686A54D8" w14:textId="017EB3F5" w:rsidR="007A4307" w:rsidRDefault="007A4307" w:rsidP="007A4307">
      <w:pPr>
        <w:pStyle w:val="Heading2"/>
      </w:pPr>
      <w:r>
        <w:lastRenderedPageBreak/>
        <w:t>Provision of information and advice</w:t>
      </w:r>
    </w:p>
    <w:p w14:paraId="5245CEAA" w14:textId="593F6C24" w:rsidR="007A4307" w:rsidRDefault="007A4307" w:rsidP="0042629E">
      <w:pPr>
        <w:pStyle w:val="ListBullet"/>
        <w:numPr>
          <w:ilvl w:val="0"/>
          <w:numId w:val="0"/>
        </w:numPr>
      </w:pPr>
      <w:r>
        <w:t>We will keep the information and advice page of the website updated with new</w:t>
      </w:r>
      <w:r w:rsidR="0042629E">
        <w:t xml:space="preserve"> </w:t>
      </w:r>
      <w:r>
        <w:t xml:space="preserve">information sections and updated information from Helpdesk advisors. This page also </w:t>
      </w:r>
      <w:r w:rsidR="0042629E">
        <w:t>directs</w:t>
      </w:r>
      <w:r>
        <w:t xml:space="preserve"> people towards the Helpdesk if they have further queries.</w:t>
      </w:r>
      <w:r w:rsidR="00E40049">
        <w:t xml:space="preserve"> Materials are also available during community engagement for non-digital information and advice.</w:t>
      </w:r>
    </w:p>
    <w:p w14:paraId="0FD1CAAE" w14:textId="77777777" w:rsidR="0042629E" w:rsidRDefault="0042629E" w:rsidP="0042629E">
      <w:pPr>
        <w:pStyle w:val="ListBullet"/>
        <w:numPr>
          <w:ilvl w:val="0"/>
          <w:numId w:val="0"/>
        </w:numPr>
      </w:pPr>
    </w:p>
    <w:p w14:paraId="5B1634AF" w14:textId="00E4FC87" w:rsidR="007A4307" w:rsidRDefault="00BF172D" w:rsidP="0042629E">
      <w:pPr>
        <w:pStyle w:val="ListBullet"/>
        <w:numPr>
          <w:ilvl w:val="0"/>
          <w:numId w:val="0"/>
        </w:numPr>
      </w:pPr>
      <w:r>
        <w:t xml:space="preserve">We will </w:t>
      </w:r>
      <w:r w:rsidR="00860553">
        <w:t xml:space="preserve">use social media to </w:t>
      </w:r>
      <w:r>
        <w:t xml:space="preserve">highlight information and advice on </w:t>
      </w:r>
      <w:r w:rsidR="005A7CE8">
        <w:t>Health-related</w:t>
      </w:r>
      <w:r w:rsidR="007A4307">
        <w:t xml:space="preserve"> awareness days </w:t>
      </w:r>
      <w:r w:rsidR="00860553">
        <w:t>and promote the</w:t>
      </w:r>
      <w:r w:rsidR="007A4307">
        <w:t xml:space="preserve"> Helpdesk </w:t>
      </w:r>
      <w:r w:rsidR="00860553">
        <w:t>for further information</w:t>
      </w:r>
      <w:r w:rsidR="007A4307">
        <w:t>.</w:t>
      </w:r>
    </w:p>
    <w:p w14:paraId="20BC8CEC" w14:textId="77777777" w:rsidR="00860553" w:rsidRDefault="00860553" w:rsidP="0042629E">
      <w:pPr>
        <w:pStyle w:val="ListBullet"/>
        <w:numPr>
          <w:ilvl w:val="0"/>
          <w:numId w:val="0"/>
        </w:numPr>
      </w:pPr>
    </w:p>
    <w:p w14:paraId="7DF0111C" w14:textId="6B46F5A7" w:rsidR="007A4307" w:rsidRDefault="007A4307" w:rsidP="0042629E">
      <w:pPr>
        <w:pStyle w:val="ListBullet"/>
        <w:numPr>
          <w:ilvl w:val="0"/>
          <w:numId w:val="0"/>
        </w:numPr>
      </w:pPr>
      <w:r>
        <w:t xml:space="preserve">We will continue to ensure that system partners and VCSE organisations are aware of the Helpdesk service and </w:t>
      </w:r>
      <w:r w:rsidR="00681D2D">
        <w:t xml:space="preserve">continue to increase their promotion </w:t>
      </w:r>
      <w:r w:rsidR="005A7CE8">
        <w:t xml:space="preserve">of Healthwatch Surrey </w:t>
      </w:r>
      <w:r>
        <w:t>on websites, slides in hospitals and GP practices.</w:t>
      </w:r>
    </w:p>
    <w:p w14:paraId="45A0F9E6" w14:textId="77777777" w:rsidR="005E6BFC" w:rsidRDefault="005E6BFC" w:rsidP="0042629E">
      <w:pPr>
        <w:pStyle w:val="ListBullet"/>
        <w:numPr>
          <w:ilvl w:val="0"/>
          <w:numId w:val="0"/>
        </w:numPr>
      </w:pPr>
    </w:p>
    <w:p w14:paraId="7364941A" w14:textId="39D224FE" w:rsidR="005E6BFC" w:rsidRDefault="005E6BFC" w:rsidP="005E6BFC">
      <w:r>
        <w:t>We will continue to promote Healthwatch Surrey via leaflet</w:t>
      </w:r>
      <w:r w:rsidR="0008416D">
        <w:t>s</w:t>
      </w:r>
      <w:r>
        <w:t xml:space="preserve">, posters, </w:t>
      </w:r>
      <w:r w:rsidR="0008416D">
        <w:t xml:space="preserve">social media and </w:t>
      </w:r>
      <w:r>
        <w:t xml:space="preserve">website. </w:t>
      </w:r>
      <w:r w:rsidR="00D24EB9">
        <w:t>We</w:t>
      </w:r>
      <w:r>
        <w:t xml:space="preserve"> will also </w:t>
      </w:r>
      <w:r w:rsidR="00D24EB9">
        <w:t>attend</w:t>
      </w:r>
      <w:r>
        <w:t xml:space="preserve"> Surrey wide awareness raising days.</w:t>
      </w:r>
      <w:r w:rsidR="002C3367">
        <w:t xml:space="preserve"> We will continue to encourage providers to </w:t>
      </w:r>
      <w:r w:rsidR="008C5F6F">
        <w:t>hold accurate information about us and signpost to our services.</w:t>
      </w:r>
    </w:p>
    <w:p w14:paraId="6563D7C2" w14:textId="77777777" w:rsidR="00911427" w:rsidRDefault="00911427" w:rsidP="005E6BFC"/>
    <w:p w14:paraId="03190257" w14:textId="77777777" w:rsidR="00911427" w:rsidRDefault="00911427" w:rsidP="00911427">
      <w:r>
        <w:t>Healthwatch Surrey staff (with support from the Communications Lead) will ensure they have appropriate leaflets and posters available when they are out on engagement to promote the full Healthwatch Surrey service.</w:t>
      </w:r>
    </w:p>
    <w:p w14:paraId="4C86BF6B" w14:textId="77777777" w:rsidR="007A4307" w:rsidRDefault="007A4307" w:rsidP="00D04787"/>
    <w:p w14:paraId="1494830B" w14:textId="0FE12CF7" w:rsidR="00000650" w:rsidRDefault="009E6400" w:rsidP="0065478A">
      <w:pPr>
        <w:pStyle w:val="Heading2"/>
      </w:pPr>
      <w:r>
        <w:t>Evidence, research and influencing</w:t>
      </w:r>
    </w:p>
    <w:p w14:paraId="00D56D75" w14:textId="69E45C39" w:rsidR="006135A4" w:rsidRDefault="007B2F93" w:rsidP="006135A4">
      <w:r>
        <w:t xml:space="preserve">We will continue to </w:t>
      </w:r>
      <w:r w:rsidR="00E25AC7">
        <w:t xml:space="preserve">use our evidence </w:t>
      </w:r>
      <w:r w:rsidR="000B1754">
        <w:t xml:space="preserve">and research </w:t>
      </w:r>
      <w:r w:rsidR="00E25AC7">
        <w:t xml:space="preserve">to </w:t>
      </w:r>
      <w:r w:rsidR="000B1754">
        <w:t>fulfil our role on the Health and Wellbeing Board</w:t>
      </w:r>
      <w:r w:rsidR="00356F03">
        <w:t>/ICP</w:t>
      </w:r>
      <w:r w:rsidR="004F22B9">
        <w:t>,</w:t>
      </w:r>
      <w:r w:rsidR="00E07579">
        <w:t xml:space="preserve"> </w:t>
      </w:r>
      <w:r w:rsidR="000B1754">
        <w:t>the Adults &amp; Health Select Committee</w:t>
      </w:r>
      <w:r w:rsidR="0058334E">
        <w:t>, and to contribute to the JSNA</w:t>
      </w:r>
      <w:r w:rsidR="000B1754">
        <w:t>.</w:t>
      </w:r>
      <w:r w:rsidR="00E25AC7">
        <w:t xml:space="preserve"> </w:t>
      </w:r>
      <w:r w:rsidR="006135A4">
        <w:t>We will continue to contribute evidence in relevan</w:t>
      </w:r>
      <w:r w:rsidR="00B863B6">
        <w:t>t System Quality Groups depending on agendas. In addition</w:t>
      </w:r>
      <w:r w:rsidR="006801A8">
        <w:t>,</w:t>
      </w:r>
      <w:r w:rsidR="00B863B6">
        <w:t xml:space="preserve"> we will commit to attendance at </w:t>
      </w:r>
      <w:proofErr w:type="gramStart"/>
      <w:r w:rsidR="00B863B6">
        <w:t>a number of</w:t>
      </w:r>
      <w:proofErr w:type="gramEnd"/>
      <w:r w:rsidR="00B863B6">
        <w:t xml:space="preserve"> boards and committees </w:t>
      </w:r>
      <w:proofErr w:type="gramStart"/>
      <w:r w:rsidR="00B863B6">
        <w:t>in order to</w:t>
      </w:r>
      <w:proofErr w:type="gramEnd"/>
      <w:r w:rsidR="00B863B6">
        <w:t xml:space="preserve"> maximise the opportunities to influence </w:t>
      </w:r>
      <w:r w:rsidR="009B3EAB">
        <w:t>service improvements in line with our thematic priorities</w:t>
      </w:r>
      <w:r w:rsidR="004D3B5F">
        <w:t xml:space="preserve"> (see below for further details)</w:t>
      </w:r>
      <w:r w:rsidR="009B3EAB">
        <w:t>.</w:t>
      </w:r>
    </w:p>
    <w:p w14:paraId="69961547" w14:textId="77777777" w:rsidR="008649A5" w:rsidRDefault="008649A5" w:rsidP="006135A4"/>
    <w:p w14:paraId="53B726F3" w14:textId="7DC7D2F2" w:rsidR="009B3EAB" w:rsidRPr="006135A4" w:rsidRDefault="008649A5" w:rsidP="006135A4">
      <w:r>
        <w:t xml:space="preserve">We will continue to publish our Insight bulletin </w:t>
      </w:r>
      <w:r w:rsidR="000949E5">
        <w:t xml:space="preserve">which is currently circulated </w:t>
      </w:r>
      <w:r>
        <w:t>to nearly 800 people each month</w:t>
      </w:r>
      <w:r w:rsidR="000949E5">
        <w:t xml:space="preserve">. Our Insight </w:t>
      </w:r>
      <w:r w:rsidR="005037B8">
        <w:t>b</w:t>
      </w:r>
      <w:r w:rsidR="000949E5">
        <w:t>ulletin will also promote any recent research projects.</w:t>
      </w:r>
    </w:p>
    <w:p w14:paraId="5E326DBB" w14:textId="77777777" w:rsidR="00B82820" w:rsidRDefault="00B82820" w:rsidP="006135A4"/>
    <w:p w14:paraId="6691D661" w14:textId="118CCA19" w:rsidR="00B82820" w:rsidRDefault="00B82820" w:rsidP="00B82820">
      <w:r>
        <w:t>We will continue to develop relationships with MPs and councillors to promote ways for constituents to get involved with Healthwatch Surrey research projects where our activity is relevant to their area or specific interests</w:t>
      </w:r>
      <w:r w:rsidR="00F9419D">
        <w:t>, or where they may have experiences to share</w:t>
      </w:r>
      <w:r>
        <w:t xml:space="preserve">. All MPs also </w:t>
      </w:r>
      <w:r w:rsidR="00DD378D">
        <w:t>receive</w:t>
      </w:r>
      <w:r>
        <w:t xml:space="preserve"> our Insight bulletin each month.</w:t>
      </w:r>
    </w:p>
    <w:p w14:paraId="76D0BB2E" w14:textId="074149D8" w:rsidR="009E6400" w:rsidRPr="009E6400" w:rsidRDefault="00E0079D" w:rsidP="007C4FA5">
      <w:pPr>
        <w:pStyle w:val="Heading3"/>
      </w:pPr>
      <w:r>
        <w:rPr>
          <w:noProof/>
        </w:rPr>
        <w:lastRenderedPageBreak/>
        <mc:AlternateContent>
          <mc:Choice Requires="wps">
            <w:drawing>
              <wp:anchor distT="45720" distB="45720" distL="114300" distR="114300" simplePos="0" relativeHeight="251658261" behindDoc="0" locked="0" layoutInCell="1" allowOverlap="1" wp14:anchorId="562DC930" wp14:editId="0ABB99CC">
                <wp:simplePos x="0" y="0"/>
                <wp:positionH relativeFrom="column">
                  <wp:posOffset>1889760</wp:posOffset>
                </wp:positionH>
                <wp:positionV relativeFrom="paragraph">
                  <wp:posOffset>73660</wp:posOffset>
                </wp:positionV>
                <wp:extent cx="4526280" cy="2407920"/>
                <wp:effectExtent l="0" t="0" r="7620" b="0"/>
                <wp:wrapSquare wrapText="bothSides"/>
                <wp:docPr id="883416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2407920"/>
                        </a:xfrm>
                        <a:prstGeom prst="rect">
                          <a:avLst/>
                        </a:prstGeom>
                        <a:solidFill>
                          <a:srgbClr val="FFFFFF"/>
                        </a:solidFill>
                        <a:ln w="9525">
                          <a:noFill/>
                          <a:miter lim="800000"/>
                          <a:headEnd/>
                          <a:tailEnd/>
                        </a:ln>
                      </wps:spPr>
                      <wps:txbx>
                        <w:txbxContent>
                          <w:p w14:paraId="57DB5DE3" w14:textId="4E9D8612" w:rsidR="00D54DBE" w:rsidRPr="00D54DBE" w:rsidRDefault="00D54DBE" w:rsidP="00D54DBE">
                            <w:pPr>
                              <w:rPr>
                                <w:b/>
                                <w:bCs/>
                              </w:rPr>
                            </w:pPr>
                            <w:r w:rsidRPr="00D54DBE">
                              <w:rPr>
                                <w:b/>
                                <w:bCs/>
                              </w:rPr>
                              <w:t>Access to primary care</w:t>
                            </w:r>
                          </w:p>
                          <w:p w14:paraId="15ADC53E" w14:textId="5C0C6CF6" w:rsidR="00D54DBE" w:rsidRPr="00D54DBE" w:rsidRDefault="00D54DBE" w:rsidP="00D54DBE">
                            <w:r w:rsidRPr="00D54DBE">
                              <w:t xml:space="preserve">Access to primary care (GP practices, pharmacies, </w:t>
                            </w:r>
                            <w:r w:rsidR="00BD17DF">
                              <w:t xml:space="preserve">optometry and </w:t>
                            </w:r>
                            <w:r w:rsidRPr="00D54DBE">
                              <w:t>NHS dentists) is fundamental to people’s experiences of health and care.</w:t>
                            </w:r>
                          </w:p>
                          <w:p w14:paraId="0577F45B" w14:textId="4B60760C" w:rsidR="00D54DBE" w:rsidRDefault="00D54DBE"/>
                          <w:p w14:paraId="1A0F2C96" w14:textId="0DE201ED" w:rsidR="000744C2" w:rsidRDefault="000744C2">
                            <w:r>
                              <w:t xml:space="preserve">We will conduct 1 research project </w:t>
                            </w:r>
                            <w:r w:rsidR="009740D7">
                              <w:t>aimed at influencing improvements based on our findings</w:t>
                            </w:r>
                            <w:r w:rsidR="00F046DB">
                              <w:t>.</w:t>
                            </w:r>
                            <w:r w:rsidR="00C63507">
                              <w:t xml:space="preserve"> </w:t>
                            </w:r>
                            <w:r w:rsidR="009916BD">
                              <w:t xml:space="preserve">Our community engagement will address issues across </w:t>
                            </w:r>
                            <w:proofErr w:type="gramStart"/>
                            <w:r w:rsidR="00E0079D">
                              <w:t>all of</w:t>
                            </w:r>
                            <w:proofErr w:type="gramEnd"/>
                            <w:r w:rsidR="00E0079D">
                              <w:t xml:space="preserve"> primary care with a focus on how digital access and digital systems work for patients.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DC930" id="_x0000_s1047" type="#_x0000_t202" style="position:absolute;margin-left:148.8pt;margin-top:5.8pt;width:356.4pt;height:189.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" stroked="f">
                <v:textbox>
                  <w:txbxContent>
                    <w:p w14:paraId="57DB5DE3" w14:textId="4E9D8612" w:rsidR="00D54DBE" w:rsidRPr="00D54DBE" w:rsidRDefault="00D54DBE" w:rsidP="00D54DBE">
                      <w:pPr>
                        <w:rPr>
                          <w:b/>
                          <w:bCs/>
                        </w:rPr>
                      </w:pPr>
                      <w:r w:rsidRPr="00D54DBE">
                        <w:rPr>
                          <w:b/>
                          <w:bCs/>
                        </w:rPr>
                        <w:t>Access to primary care</w:t>
                      </w:r>
                    </w:p>
                    <w:p w14:paraId="15ADC53E" w14:textId="5C0C6CF6" w:rsidR="00D54DBE" w:rsidRPr="00D54DBE" w:rsidRDefault="00D54DBE" w:rsidP="00D54DBE">
                      <w:r w:rsidRPr="00D54DBE">
                        <w:t xml:space="preserve">Access to primary care (GP practices, pharmacies, </w:t>
                      </w:r>
                      <w:r w:rsidR="00BD17DF">
                        <w:t xml:space="preserve">optometry and </w:t>
                      </w:r>
                      <w:r w:rsidRPr="00D54DBE">
                        <w:t>NHS dentists) is fundamental to people’s experiences of health and care.</w:t>
                      </w:r>
                    </w:p>
                    <w:p w14:paraId="0577F45B" w14:textId="4B60760C" w:rsidR="00D54DBE" w:rsidRDefault="00D54DBE"/>
                    <w:p w14:paraId="1A0F2C96" w14:textId="0DE201ED" w:rsidR="000744C2" w:rsidRDefault="000744C2">
                      <w:r>
                        <w:t xml:space="preserve">We will conduct 1 research project </w:t>
                      </w:r>
                      <w:r w:rsidR="009740D7">
                        <w:t>aimed at influencing improvements based on our findings</w:t>
                      </w:r>
                      <w:r w:rsidR="00F046DB">
                        <w:t>.</w:t>
                      </w:r>
                      <w:r w:rsidR="00C63507">
                        <w:t xml:space="preserve"> </w:t>
                      </w:r>
                      <w:r w:rsidR="009916BD">
                        <w:t xml:space="preserve">Our community engagement will address issues across </w:t>
                      </w:r>
                      <w:r w:rsidR="00E0079D">
                        <w:t>all of primary care with a focus on how digital access and digital systems work for patients.</w:t>
                      </w:r>
                    </w:p>
                  </w:txbxContent>
                </v:textbox>
                <w10:wrap type="square"/>
              </v:shape>
            </w:pict>
          </mc:Fallback>
        </mc:AlternateContent>
      </w:r>
      <w:r w:rsidR="009E6400">
        <w:t>Thematic Priorities</w:t>
      </w:r>
    </w:p>
    <w:p w14:paraId="40FA6B15" w14:textId="435DF9B4" w:rsidR="00940392" w:rsidRDefault="00660C96" w:rsidP="00940392">
      <w:pPr>
        <w:pStyle w:val="ListBullet-pink"/>
        <w:numPr>
          <w:ilvl w:val="0"/>
          <w:numId w:val="0"/>
        </w:numPr>
        <w:ind w:left="360"/>
      </w:pPr>
      <w:r w:rsidRPr="00660C96">
        <w:rPr>
          <w:noProof/>
        </w:rPr>
        <w:drawing>
          <wp:inline distT="0" distB="0" distL="0" distR="0" wp14:anchorId="614A6C46" wp14:editId="126AB03E">
            <wp:extent cx="1493649" cy="1882303"/>
            <wp:effectExtent l="0" t="0" r="0" b="3810"/>
            <wp:docPr id="1087390951" name="Picture 1" descr="Icon of white doors with sign above saying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90951" name="Picture 1" descr="Icon of white doors with sign above saying 'Entrance'"/>
                    <pic:cNvPicPr/>
                  </pic:nvPicPr>
                  <pic:blipFill>
                    <a:blip r:embed="rId13"/>
                    <a:stretch>
                      <a:fillRect/>
                    </a:stretch>
                  </pic:blipFill>
                  <pic:spPr>
                    <a:xfrm>
                      <a:off x="0" y="0"/>
                      <a:ext cx="1493649" cy="1882303"/>
                    </a:xfrm>
                    <a:prstGeom prst="rect">
                      <a:avLst/>
                    </a:prstGeom>
                  </pic:spPr>
                </pic:pic>
              </a:graphicData>
            </a:graphic>
          </wp:inline>
        </w:drawing>
      </w:r>
    </w:p>
    <w:p w14:paraId="267EA230" w14:textId="77777777" w:rsidR="007B3168" w:rsidRDefault="007B3168" w:rsidP="009740D7"/>
    <w:p w14:paraId="78A771B0" w14:textId="77777777" w:rsidR="00005FBA" w:rsidRDefault="00005FBA" w:rsidP="009740D7"/>
    <w:p w14:paraId="2AB6519A" w14:textId="5D8049B7" w:rsidR="009740D7" w:rsidRDefault="00DA1FEA" w:rsidP="009740D7">
      <w:r>
        <w:t xml:space="preserve">Our </w:t>
      </w:r>
      <w:r w:rsidR="00005FBA">
        <w:t>aims</w:t>
      </w:r>
      <w:r>
        <w:t xml:space="preserve"> are to support local people to have their needs met by primary care, improving the information and advice available about </w:t>
      </w:r>
      <w:r w:rsidR="008A7BCC">
        <w:t>primary</w:t>
      </w:r>
      <w:r>
        <w:t xml:space="preserve"> care, and supporting integration of services to improve</w:t>
      </w:r>
      <w:r w:rsidR="008A7BCC">
        <w:t xml:space="preserve"> </w:t>
      </w:r>
      <w:r>
        <w:t>access to primary care.</w:t>
      </w:r>
      <w:r w:rsidR="008A7BCC">
        <w:t xml:space="preserve"> </w:t>
      </w:r>
      <w:r w:rsidR="007B3168">
        <w:t xml:space="preserve">We will use evidence </w:t>
      </w:r>
      <w:r w:rsidR="002363F4">
        <w:t xml:space="preserve">shared with us to influence at the </w:t>
      </w:r>
      <w:r w:rsidR="00802FFC">
        <w:t xml:space="preserve">Surrey Heartlands </w:t>
      </w:r>
      <w:r w:rsidR="006D4C83">
        <w:t>Primary Care Commissioning Committee (PCCC), Access Board</w:t>
      </w:r>
      <w:r w:rsidR="00A37925">
        <w:t>, Frimley PC POD Board and Frimley PC GP Board</w:t>
      </w:r>
      <w:r w:rsidR="006D4C83">
        <w:t>.</w:t>
      </w:r>
    </w:p>
    <w:p w14:paraId="6256CBA3" w14:textId="50414BD9" w:rsidR="00D63820" w:rsidRDefault="00853DF8" w:rsidP="009740D7">
      <w:r>
        <w:rPr>
          <w:noProof/>
        </w:rPr>
        <mc:AlternateContent>
          <mc:Choice Requires="wps">
            <w:drawing>
              <wp:anchor distT="45720" distB="45720" distL="114300" distR="114300" simplePos="0" relativeHeight="251658262" behindDoc="0" locked="0" layoutInCell="1" allowOverlap="1" wp14:anchorId="28FD80CC" wp14:editId="15532F58">
                <wp:simplePos x="0" y="0"/>
                <wp:positionH relativeFrom="column">
                  <wp:posOffset>-68580</wp:posOffset>
                </wp:positionH>
                <wp:positionV relativeFrom="paragraph">
                  <wp:posOffset>187960</wp:posOffset>
                </wp:positionV>
                <wp:extent cx="4213860" cy="1493520"/>
                <wp:effectExtent l="0" t="0" r="0" b="0"/>
                <wp:wrapSquare wrapText="bothSides"/>
                <wp:docPr id="1423274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1493520"/>
                        </a:xfrm>
                        <a:prstGeom prst="rect">
                          <a:avLst/>
                        </a:prstGeom>
                        <a:solidFill>
                          <a:srgbClr val="FFFFFF"/>
                        </a:solidFill>
                        <a:ln w="9525">
                          <a:noFill/>
                          <a:miter lim="800000"/>
                          <a:headEnd/>
                          <a:tailEnd/>
                        </a:ln>
                      </wps:spPr>
                      <wps:txbx>
                        <w:txbxContent>
                          <w:p w14:paraId="55392EF8" w14:textId="77777777" w:rsidR="004572AB" w:rsidRPr="004572AB" w:rsidRDefault="004572AB" w:rsidP="004572AB">
                            <w:pPr>
                              <w:rPr>
                                <w:b/>
                                <w:bCs/>
                              </w:rPr>
                            </w:pPr>
                            <w:r w:rsidRPr="004572AB">
                              <w:rPr>
                                <w:b/>
                                <w:bCs/>
                              </w:rPr>
                              <w:t>Social care</w:t>
                            </w:r>
                          </w:p>
                          <w:p w14:paraId="0DCBB8AA" w14:textId="77777777" w:rsidR="004572AB" w:rsidRDefault="004572AB" w:rsidP="004572AB">
                            <w:r w:rsidRPr="004572AB">
                              <w:t>Social care support can change the lives of many Surrey residents. The availability of social care and understanding of what is available can often be complicated for many people who need to access support.</w:t>
                            </w:r>
                          </w:p>
                          <w:p w14:paraId="5083C59F" w14:textId="77777777" w:rsidR="00AD68E2" w:rsidRDefault="00AD68E2" w:rsidP="004572AB"/>
                          <w:p w14:paraId="126F6591" w14:textId="77777777" w:rsidR="00AD68E2" w:rsidRPr="004572AB" w:rsidRDefault="00AD68E2" w:rsidP="004572AB"/>
                          <w:p w14:paraId="31D16B15" w14:textId="09349D95" w:rsidR="004572AB" w:rsidRDefault="004572AB" w:rsidP="004572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D80CC" id="_x0000_s1048" type="#_x0000_t202" style="position:absolute;margin-left:-5.4pt;margin-top:14.8pt;width:331.8pt;height:117.6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" stroked="f">
                <v:textbox>
                  <w:txbxContent>
                    <w:p w14:paraId="55392EF8" w14:textId="77777777" w:rsidR="004572AB" w:rsidRPr="004572AB" w:rsidRDefault="004572AB" w:rsidP="004572AB">
                      <w:pPr>
                        <w:rPr>
                          <w:b/>
                          <w:bCs/>
                        </w:rPr>
                      </w:pPr>
                      <w:r w:rsidRPr="004572AB">
                        <w:rPr>
                          <w:b/>
                          <w:bCs/>
                        </w:rPr>
                        <w:t>Social care</w:t>
                      </w:r>
                    </w:p>
                    <w:p w14:paraId="0DCBB8AA" w14:textId="77777777" w:rsidR="004572AB" w:rsidRDefault="004572AB" w:rsidP="004572AB">
                      <w:r w:rsidRPr="004572AB">
                        <w:t>Social care support can change the lives of many Surrey residents. The availability of social care and understanding of what is available can often be complicated for many people who need to access support.</w:t>
                      </w:r>
                    </w:p>
                    <w:p w14:paraId="5083C59F" w14:textId="77777777" w:rsidR="00AD68E2" w:rsidRDefault="00AD68E2" w:rsidP="004572AB"/>
                    <w:p w14:paraId="126F6591" w14:textId="77777777" w:rsidR="00AD68E2" w:rsidRPr="004572AB" w:rsidRDefault="00AD68E2" w:rsidP="004572AB"/>
                    <w:p w14:paraId="31D16B15" w14:textId="09349D95" w:rsidR="004572AB" w:rsidRDefault="004572AB" w:rsidP="004572AB"/>
                  </w:txbxContent>
                </v:textbox>
                <w10:wrap type="square"/>
              </v:shape>
            </w:pict>
          </mc:Fallback>
        </mc:AlternateContent>
      </w:r>
      <w:r w:rsidRPr="00A223E1">
        <w:rPr>
          <w:noProof/>
        </w:rPr>
        <w:drawing>
          <wp:inline distT="0" distB="0" distL="0" distR="0" wp14:anchorId="0F90F357" wp14:editId="276E2A2F">
            <wp:extent cx="1759259" cy="1729740"/>
            <wp:effectExtent l="0" t="0" r="0" b="3810"/>
            <wp:docPr id="787412465" name="Picture 1" descr="Icon of 2 people holding hands under a 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12465" name="Picture 1" descr="Icon of 2 people holding hands under a roof"/>
                    <pic:cNvPicPr/>
                  </pic:nvPicPr>
                  <pic:blipFill>
                    <a:blip r:embed="rId14"/>
                    <a:stretch>
                      <a:fillRect/>
                    </a:stretch>
                  </pic:blipFill>
                  <pic:spPr>
                    <a:xfrm>
                      <a:off x="0" y="0"/>
                      <a:ext cx="1780774" cy="1750894"/>
                    </a:xfrm>
                    <a:prstGeom prst="rect">
                      <a:avLst/>
                    </a:prstGeom>
                  </pic:spPr>
                </pic:pic>
              </a:graphicData>
            </a:graphic>
          </wp:inline>
        </w:drawing>
      </w:r>
    </w:p>
    <w:p w14:paraId="6F3677AE" w14:textId="0545E2E5" w:rsidR="00FC1E80" w:rsidRPr="002B5933" w:rsidRDefault="00E85389" w:rsidP="00B44D6D">
      <w:r w:rsidRPr="002B5933">
        <w:t xml:space="preserve">We will share </w:t>
      </w:r>
      <w:r w:rsidR="002B5933" w:rsidRPr="002B5933">
        <w:t xml:space="preserve">our </w:t>
      </w:r>
      <w:r w:rsidRPr="002B5933">
        <w:t xml:space="preserve">evidence with </w:t>
      </w:r>
      <w:r w:rsidR="00CA4AD4" w:rsidRPr="002B5933">
        <w:t>Public Health twice per year, and Adult Social Care twice per year</w:t>
      </w:r>
      <w:r w:rsidR="005D27A4" w:rsidRPr="002B5933">
        <w:t xml:space="preserve"> at </w:t>
      </w:r>
      <w:r w:rsidR="00CD629A" w:rsidRPr="002B5933">
        <w:t xml:space="preserve">Area Board meetings. </w:t>
      </w:r>
      <w:r w:rsidR="00D4693D" w:rsidRPr="002B5933">
        <w:t>We will tailor our community engagement to align with strategic issues</w:t>
      </w:r>
      <w:r w:rsidR="00874EE2" w:rsidRPr="002B5933">
        <w:t xml:space="preserve"> for which </w:t>
      </w:r>
      <w:r w:rsidR="00D4693D" w:rsidRPr="002B5933">
        <w:t>the</w:t>
      </w:r>
      <w:r w:rsidR="00A04E33" w:rsidRPr="002B5933">
        <w:t xml:space="preserve"> Public Health team and Adult Social Care team </w:t>
      </w:r>
      <w:r w:rsidR="00874EE2" w:rsidRPr="002B5933">
        <w:t>request our support</w:t>
      </w:r>
      <w:r w:rsidR="002B5933" w:rsidRPr="002B5933">
        <w:t>.</w:t>
      </w:r>
      <w:r w:rsidR="00BC4244">
        <w:t xml:space="preserve"> Our planned outcomes are to continually improve our knowledge of social care, </w:t>
      </w:r>
      <w:r w:rsidR="00922AC8">
        <w:t xml:space="preserve">improve our support to service users, and support </w:t>
      </w:r>
      <w:r w:rsidR="0007652A">
        <w:t>social care to learn from people’s experiences.</w:t>
      </w:r>
    </w:p>
    <w:p w14:paraId="2CD33FB6" w14:textId="377560E3" w:rsidR="005B6209" w:rsidRPr="002B5933" w:rsidRDefault="00156A3B" w:rsidP="00B44D6D">
      <w:r>
        <w:rPr>
          <w:noProof/>
        </w:rPr>
        <mc:AlternateContent>
          <mc:Choice Requires="wps">
            <w:drawing>
              <wp:anchor distT="45720" distB="45720" distL="114300" distR="114300" simplePos="0" relativeHeight="251658263" behindDoc="0" locked="0" layoutInCell="1" allowOverlap="1" wp14:anchorId="37800CF4" wp14:editId="0AD79B35">
                <wp:simplePos x="0" y="0"/>
                <wp:positionH relativeFrom="column">
                  <wp:posOffset>1417320</wp:posOffset>
                </wp:positionH>
                <wp:positionV relativeFrom="paragraph">
                  <wp:posOffset>166370</wp:posOffset>
                </wp:positionV>
                <wp:extent cx="4998720" cy="1404620"/>
                <wp:effectExtent l="0" t="0" r="0" b="0"/>
                <wp:wrapSquare wrapText="bothSides"/>
                <wp:docPr id="414403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1404620"/>
                        </a:xfrm>
                        <a:prstGeom prst="rect">
                          <a:avLst/>
                        </a:prstGeom>
                        <a:solidFill>
                          <a:srgbClr val="FFFFFF"/>
                        </a:solidFill>
                        <a:ln w="9525">
                          <a:noFill/>
                          <a:miter lim="800000"/>
                          <a:headEnd/>
                          <a:tailEnd/>
                        </a:ln>
                      </wps:spPr>
                      <wps:txbx>
                        <w:txbxContent>
                          <w:p w14:paraId="4EC8AFB8" w14:textId="3B795699" w:rsidR="00122AB0" w:rsidRPr="00122AB0" w:rsidRDefault="00122AB0" w:rsidP="00122AB0">
                            <w:pPr>
                              <w:rPr>
                                <w:b/>
                                <w:bCs/>
                              </w:rPr>
                            </w:pPr>
                            <w:r w:rsidRPr="00122AB0">
                              <w:rPr>
                                <w:b/>
                                <w:bCs/>
                              </w:rPr>
                              <w:t>Mental health</w:t>
                            </w:r>
                          </w:p>
                          <w:p w14:paraId="040A1724" w14:textId="70988EF6" w:rsidR="00122AB0" w:rsidRDefault="00122AB0" w:rsidP="00122AB0">
                            <w:r w:rsidRPr="00122AB0">
                              <w:t xml:space="preserve">Mental Health is intrinsically linked to the </w:t>
                            </w:r>
                            <w:r w:rsidR="00522234">
                              <w:t xml:space="preserve">overall </w:t>
                            </w:r>
                            <w:r w:rsidRPr="00122AB0">
                              <w:t>health and wellbeing of local people.</w:t>
                            </w:r>
                          </w:p>
                          <w:p w14:paraId="40F3A0D7" w14:textId="77777777" w:rsidR="00156A3B" w:rsidRDefault="00156A3B" w:rsidP="00122AB0"/>
                          <w:p w14:paraId="6433D0EE" w14:textId="3B45B4A7" w:rsidR="00122AB0" w:rsidRDefault="00F046DB">
                            <w:r>
                              <w:t>We will conduct 1 research project aimed at influencing improvements based on our findings.</w:t>
                            </w:r>
                            <w:r w:rsidR="00156A3B">
                              <w:t xml:space="preserve"> This will be supported by community engagement focused on the mental health of priority populations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800CF4" id="_x0000_s1049" type="#_x0000_t202" style="position:absolute;margin-left:111.6pt;margin-top:13.1pt;width:393.6pt;height:110.6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" stroked="f">
                <v:textbox style="mso-fit-shape-to-text:t">
                  <w:txbxContent>
                    <w:p w14:paraId="4EC8AFB8" w14:textId="3B795699" w:rsidR="00122AB0" w:rsidRPr="00122AB0" w:rsidRDefault="00122AB0" w:rsidP="00122AB0">
                      <w:pPr>
                        <w:rPr>
                          <w:b/>
                          <w:bCs/>
                        </w:rPr>
                      </w:pPr>
                      <w:r w:rsidRPr="00122AB0">
                        <w:rPr>
                          <w:b/>
                          <w:bCs/>
                        </w:rPr>
                        <w:t>Mental health</w:t>
                      </w:r>
                    </w:p>
                    <w:p w14:paraId="040A1724" w14:textId="70988EF6" w:rsidR="00122AB0" w:rsidRDefault="00122AB0" w:rsidP="00122AB0">
                      <w:r w:rsidRPr="00122AB0">
                        <w:t xml:space="preserve">Mental Health is intrinsically linked to the </w:t>
                      </w:r>
                      <w:r w:rsidR="00522234">
                        <w:t xml:space="preserve">overall </w:t>
                      </w:r>
                      <w:r w:rsidRPr="00122AB0">
                        <w:t>health and wellbeing of local people.</w:t>
                      </w:r>
                    </w:p>
                    <w:p w14:paraId="40F3A0D7" w14:textId="77777777" w:rsidR="00156A3B" w:rsidRDefault="00156A3B" w:rsidP="00122AB0"/>
                    <w:p w14:paraId="6433D0EE" w14:textId="3B45B4A7" w:rsidR="00122AB0" w:rsidRDefault="00F046DB">
                      <w:r>
                        <w:t>We will conduct 1 research project aimed at influencing improvements based on our findings.</w:t>
                      </w:r>
                      <w:r w:rsidR="00156A3B">
                        <w:t xml:space="preserve"> This will be supported by community engagement focused on the mental health of priority populations</w:t>
                      </w:r>
                    </w:p>
                  </w:txbxContent>
                </v:textbox>
                <w10:wrap type="square"/>
              </v:shape>
            </w:pict>
          </mc:Fallback>
        </mc:AlternateContent>
      </w:r>
    </w:p>
    <w:p w14:paraId="47BF8045" w14:textId="78678C11" w:rsidR="00B75184" w:rsidRDefault="00B75184" w:rsidP="00B44D6D">
      <w:r w:rsidRPr="00B75184">
        <w:rPr>
          <w:noProof/>
        </w:rPr>
        <w:drawing>
          <wp:inline distT="0" distB="0" distL="0" distR="0" wp14:anchorId="369CFC21" wp14:editId="59968C9C">
            <wp:extent cx="1127760" cy="1299232"/>
            <wp:effectExtent l="0" t="0" r="0" b="0"/>
            <wp:docPr id="1664640645" name="Picture 1" descr="Icon depicting a person with cogs in thei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40645" name="Picture 1" descr="Icon depicting a person with cogs in their head."/>
                    <pic:cNvPicPr/>
                  </pic:nvPicPr>
                  <pic:blipFill>
                    <a:blip r:embed="rId15"/>
                    <a:stretch>
                      <a:fillRect/>
                    </a:stretch>
                  </pic:blipFill>
                  <pic:spPr>
                    <a:xfrm>
                      <a:off x="0" y="0"/>
                      <a:ext cx="1133711" cy="1306088"/>
                    </a:xfrm>
                    <a:prstGeom prst="rect">
                      <a:avLst/>
                    </a:prstGeom>
                  </pic:spPr>
                </pic:pic>
              </a:graphicData>
            </a:graphic>
          </wp:inline>
        </w:drawing>
      </w:r>
    </w:p>
    <w:p w14:paraId="127D6FC3" w14:textId="77777777" w:rsidR="00FC1E80" w:rsidRDefault="00FC1E80" w:rsidP="00B44D6D"/>
    <w:p w14:paraId="032E6A12" w14:textId="77777777" w:rsidR="002E1EB9" w:rsidRDefault="002E1EB9" w:rsidP="00B44D6D"/>
    <w:p w14:paraId="5A252DFE" w14:textId="3A3ADAFA" w:rsidR="00C35EE7" w:rsidRDefault="002E1EB9" w:rsidP="00B44D6D">
      <w:pPr>
        <w:rPr>
          <w:color w:val="000000" w:themeColor="text1"/>
        </w:rPr>
      </w:pPr>
      <w:r w:rsidRPr="009B555E">
        <w:rPr>
          <w:color w:val="000000" w:themeColor="text1"/>
        </w:rPr>
        <w:lastRenderedPageBreak/>
        <w:t>We wil</w:t>
      </w:r>
      <w:r w:rsidR="009B555E" w:rsidRPr="009B555E">
        <w:rPr>
          <w:color w:val="000000" w:themeColor="text1"/>
        </w:rPr>
        <w:t xml:space="preserve">l share our evidence </w:t>
      </w:r>
      <w:r w:rsidR="00522234">
        <w:rPr>
          <w:color w:val="000000" w:themeColor="text1"/>
        </w:rPr>
        <w:t xml:space="preserve">from community engagement </w:t>
      </w:r>
      <w:r w:rsidR="009B555E" w:rsidRPr="009B555E">
        <w:rPr>
          <w:color w:val="000000" w:themeColor="text1"/>
        </w:rPr>
        <w:t>quarterly at the Surrey and Borders Partnership Learning from Patient Experience Forum and the Surrey Heartlands All Age Mental Health and Learning Disability Oversight Group.</w:t>
      </w:r>
      <w:r w:rsidR="00C83643">
        <w:rPr>
          <w:color w:val="000000" w:themeColor="text1"/>
        </w:rPr>
        <w:t xml:space="preserve"> This will enable us to use evidence to help improve services and challenge where necessary.</w:t>
      </w:r>
      <w:r w:rsidR="009B555E" w:rsidRPr="009B555E">
        <w:rPr>
          <w:color w:val="000000" w:themeColor="text1"/>
        </w:rPr>
        <w:t xml:space="preserve"> </w:t>
      </w:r>
      <w:r w:rsidR="0007652A">
        <w:rPr>
          <w:color w:val="000000" w:themeColor="text1"/>
        </w:rPr>
        <w:t xml:space="preserve"> </w:t>
      </w:r>
    </w:p>
    <w:p w14:paraId="58C694EB" w14:textId="77777777" w:rsidR="00C35EE7" w:rsidRDefault="00C35EE7" w:rsidP="00B44D6D">
      <w:pPr>
        <w:rPr>
          <w:color w:val="000000" w:themeColor="text1"/>
        </w:rPr>
      </w:pPr>
    </w:p>
    <w:p w14:paraId="58AF2D63" w14:textId="0B56351E" w:rsidR="00E871D2" w:rsidRDefault="0007652A" w:rsidP="00B44D6D">
      <w:pPr>
        <w:rPr>
          <w:color w:val="000000" w:themeColor="text1"/>
        </w:rPr>
      </w:pPr>
      <w:r>
        <w:rPr>
          <w:color w:val="000000" w:themeColor="text1"/>
        </w:rPr>
        <w:t xml:space="preserve">Our </w:t>
      </w:r>
      <w:r w:rsidR="00C83643">
        <w:rPr>
          <w:color w:val="000000" w:themeColor="text1"/>
        </w:rPr>
        <w:t xml:space="preserve">other </w:t>
      </w:r>
      <w:r>
        <w:rPr>
          <w:color w:val="000000" w:themeColor="text1"/>
        </w:rPr>
        <w:t xml:space="preserve">planned outcomes are </w:t>
      </w:r>
      <w:r w:rsidR="00FA4B4B">
        <w:rPr>
          <w:color w:val="000000" w:themeColor="text1"/>
        </w:rPr>
        <w:t xml:space="preserve">to have positive, collaborative relationships across the listening landscape, people </w:t>
      </w:r>
      <w:proofErr w:type="gramStart"/>
      <w:r w:rsidR="00FA4B4B">
        <w:rPr>
          <w:color w:val="000000" w:themeColor="text1"/>
        </w:rPr>
        <w:t>are able to</w:t>
      </w:r>
      <w:proofErr w:type="gramEnd"/>
      <w:r w:rsidR="00FA4B4B">
        <w:rPr>
          <w:color w:val="000000" w:themeColor="text1"/>
        </w:rPr>
        <w:t xml:space="preserve"> access support when waiting</w:t>
      </w:r>
      <w:r w:rsidR="00365D24">
        <w:rPr>
          <w:color w:val="000000" w:themeColor="text1"/>
        </w:rPr>
        <w:t xml:space="preserve">, and </w:t>
      </w:r>
      <w:r w:rsidR="009A42A2">
        <w:rPr>
          <w:color w:val="000000" w:themeColor="text1"/>
        </w:rPr>
        <w:t xml:space="preserve">people </w:t>
      </w:r>
      <w:r w:rsidR="00365D24">
        <w:rPr>
          <w:color w:val="000000" w:themeColor="text1"/>
        </w:rPr>
        <w:t xml:space="preserve">have a good </w:t>
      </w:r>
      <w:r w:rsidR="009A42A2">
        <w:rPr>
          <w:color w:val="000000" w:themeColor="text1"/>
        </w:rPr>
        <w:t>understand</w:t>
      </w:r>
      <w:r w:rsidR="00365D24">
        <w:rPr>
          <w:color w:val="000000" w:themeColor="text1"/>
        </w:rPr>
        <w:t>ing of</w:t>
      </w:r>
      <w:r w:rsidR="009A42A2">
        <w:rPr>
          <w:color w:val="000000" w:themeColor="text1"/>
        </w:rPr>
        <w:t xml:space="preserve"> what </w:t>
      </w:r>
      <w:r w:rsidR="00365D24">
        <w:rPr>
          <w:color w:val="000000" w:themeColor="text1"/>
        </w:rPr>
        <w:t>support</w:t>
      </w:r>
      <w:r w:rsidR="009A42A2">
        <w:rPr>
          <w:color w:val="000000" w:themeColor="text1"/>
        </w:rPr>
        <w:t xml:space="preserve"> </w:t>
      </w:r>
      <w:r w:rsidR="00365D24">
        <w:rPr>
          <w:color w:val="000000" w:themeColor="text1"/>
        </w:rPr>
        <w:t xml:space="preserve">is </w:t>
      </w:r>
      <w:r w:rsidR="009A42A2">
        <w:rPr>
          <w:color w:val="000000" w:themeColor="text1"/>
        </w:rPr>
        <w:t>available to them</w:t>
      </w:r>
      <w:r w:rsidR="00502CEB">
        <w:rPr>
          <w:color w:val="000000" w:themeColor="text1"/>
        </w:rPr>
        <w:t>.</w:t>
      </w:r>
    </w:p>
    <w:p w14:paraId="69ED86DB" w14:textId="77777777" w:rsidR="00502CEB" w:rsidRDefault="00502CEB" w:rsidP="00B44D6D"/>
    <w:p w14:paraId="6056E1CE" w14:textId="4F6B4FDC" w:rsidR="00327C11" w:rsidRDefault="00295780" w:rsidP="00327C11">
      <w:pPr>
        <w:jc w:val="right"/>
      </w:pPr>
      <w:r>
        <w:rPr>
          <w:noProof/>
        </w:rPr>
        <mc:AlternateContent>
          <mc:Choice Requires="wps">
            <w:drawing>
              <wp:anchor distT="45720" distB="45720" distL="114300" distR="114300" simplePos="0" relativeHeight="251658264" behindDoc="0" locked="0" layoutInCell="1" allowOverlap="1" wp14:anchorId="62E379AB" wp14:editId="624B1895">
                <wp:simplePos x="0" y="0"/>
                <wp:positionH relativeFrom="column">
                  <wp:posOffset>-53340</wp:posOffset>
                </wp:positionH>
                <wp:positionV relativeFrom="paragraph">
                  <wp:posOffset>100330</wp:posOffset>
                </wp:positionV>
                <wp:extent cx="4998720" cy="1404620"/>
                <wp:effectExtent l="0" t="0" r="0" b="0"/>
                <wp:wrapSquare wrapText="bothSides"/>
                <wp:docPr id="1340496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1404620"/>
                        </a:xfrm>
                        <a:prstGeom prst="rect">
                          <a:avLst/>
                        </a:prstGeom>
                        <a:solidFill>
                          <a:srgbClr val="FFFFFF"/>
                        </a:solidFill>
                        <a:ln w="9525">
                          <a:noFill/>
                          <a:miter lim="800000"/>
                          <a:headEnd/>
                          <a:tailEnd/>
                        </a:ln>
                      </wps:spPr>
                      <wps:txbx>
                        <w:txbxContent>
                          <w:p w14:paraId="6462C4B8" w14:textId="77777777" w:rsidR="004D7F59" w:rsidRPr="004D7F59" w:rsidRDefault="004D7F59" w:rsidP="004D7F59">
                            <w:pPr>
                              <w:rPr>
                                <w:b/>
                                <w:bCs/>
                              </w:rPr>
                            </w:pPr>
                            <w:r w:rsidRPr="004D7F59">
                              <w:rPr>
                                <w:b/>
                                <w:bCs/>
                              </w:rPr>
                              <w:t>Involvement of people</w:t>
                            </w:r>
                          </w:p>
                          <w:p w14:paraId="3C21BCDB" w14:textId="77777777" w:rsidR="004D7F59" w:rsidRPr="004D7F59" w:rsidRDefault="004D7F59" w:rsidP="004D7F59">
                            <w:r w:rsidRPr="004D7F59">
                              <w:t>Involving local people in decision making and the design and changes of services will also ensure that services truly serve their local communities.</w:t>
                            </w:r>
                          </w:p>
                          <w:p w14:paraId="1A0E89A9" w14:textId="77777777" w:rsidR="00DB6228" w:rsidRDefault="00DB6228"/>
                          <w:p w14:paraId="50535757" w14:textId="1EB11242" w:rsidR="00295780" w:rsidRDefault="003B3A57">
                            <w:r>
                              <w:t xml:space="preserve">Our research project on this will </w:t>
                            </w:r>
                            <w:r w:rsidR="00D01EF7">
                              <w:t xml:space="preserve">focus on </w:t>
                            </w:r>
                            <w:r w:rsidR="00967FCA">
                              <w:t>supporting people</w:t>
                            </w:r>
                            <w:r w:rsidR="00DB6228">
                              <w:t xml:space="preserve"> who are housebound</w:t>
                            </w:r>
                            <w:r w:rsidR="00967FCA">
                              <w:t xml:space="preserve"> to be more involved in the planning and delivery of their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E379AB" id="_x0000_s1050" type="#_x0000_t202" style="position:absolute;left:0;text-align:left;margin-left:-4.2pt;margin-top:7.9pt;width:393.6pt;height:110.6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" stroked="f">
                <v:textbox style="mso-fit-shape-to-text:t">
                  <w:txbxContent>
                    <w:p w14:paraId="6462C4B8" w14:textId="77777777" w:rsidR="004D7F59" w:rsidRPr="004D7F59" w:rsidRDefault="004D7F59" w:rsidP="004D7F59">
                      <w:pPr>
                        <w:rPr>
                          <w:b/>
                          <w:bCs/>
                        </w:rPr>
                      </w:pPr>
                      <w:r w:rsidRPr="004D7F59">
                        <w:rPr>
                          <w:b/>
                          <w:bCs/>
                        </w:rPr>
                        <w:t>Involvement of people</w:t>
                      </w:r>
                    </w:p>
                    <w:p w14:paraId="3C21BCDB" w14:textId="77777777" w:rsidR="004D7F59" w:rsidRPr="004D7F59" w:rsidRDefault="004D7F59" w:rsidP="004D7F59">
                      <w:r w:rsidRPr="004D7F59">
                        <w:t>Involving local people in decision making and the design and changes of services will also ensure that services truly serve their local communities.</w:t>
                      </w:r>
                    </w:p>
                    <w:p w14:paraId="1A0E89A9" w14:textId="77777777" w:rsidR="00DB6228" w:rsidRDefault="00DB6228"/>
                    <w:p w14:paraId="50535757" w14:textId="1EB11242" w:rsidR="00295780" w:rsidRDefault="003B3A57">
                      <w:r>
                        <w:t xml:space="preserve">Our research project on this will </w:t>
                      </w:r>
                      <w:r w:rsidR="00D01EF7">
                        <w:t xml:space="preserve">focus on </w:t>
                      </w:r>
                      <w:r w:rsidR="00967FCA">
                        <w:t>supporting people</w:t>
                      </w:r>
                      <w:r w:rsidR="00DB6228">
                        <w:t xml:space="preserve"> who are housebound</w:t>
                      </w:r>
                      <w:r w:rsidR="00967FCA">
                        <w:t xml:space="preserve"> to be more involved in the planning and delivery of their services.</w:t>
                      </w:r>
                    </w:p>
                  </w:txbxContent>
                </v:textbox>
                <w10:wrap type="square"/>
              </v:shape>
            </w:pict>
          </mc:Fallback>
        </mc:AlternateContent>
      </w:r>
      <w:r w:rsidR="00327C11" w:rsidRPr="00327C11">
        <w:rPr>
          <w:noProof/>
        </w:rPr>
        <w:drawing>
          <wp:inline distT="0" distB="0" distL="0" distR="0" wp14:anchorId="75A3A2C1" wp14:editId="4C980D3E">
            <wp:extent cx="1501270" cy="1638442"/>
            <wp:effectExtent l="0" t="0" r="3810" b="0"/>
            <wp:docPr id="1313372199" name="Picture 1" descr="Icons of a group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72199" name="Picture 1" descr="Icons of a group of people"/>
                    <pic:cNvPicPr/>
                  </pic:nvPicPr>
                  <pic:blipFill>
                    <a:blip r:embed="rId16"/>
                    <a:stretch>
                      <a:fillRect/>
                    </a:stretch>
                  </pic:blipFill>
                  <pic:spPr>
                    <a:xfrm>
                      <a:off x="0" y="0"/>
                      <a:ext cx="1501270" cy="1638442"/>
                    </a:xfrm>
                    <a:prstGeom prst="rect">
                      <a:avLst/>
                    </a:prstGeom>
                  </pic:spPr>
                </pic:pic>
              </a:graphicData>
            </a:graphic>
          </wp:inline>
        </w:drawing>
      </w:r>
    </w:p>
    <w:p w14:paraId="39E2C107" w14:textId="77777777" w:rsidR="00E871D2" w:rsidRDefault="00E871D2" w:rsidP="00B44D6D"/>
    <w:p w14:paraId="6B8190AB" w14:textId="77777777" w:rsidR="00737DD4" w:rsidRDefault="00737DD4" w:rsidP="00967FCA"/>
    <w:p w14:paraId="5C705BC0" w14:textId="2DCA9CF8" w:rsidR="00967FCA" w:rsidRDefault="00737DD4" w:rsidP="00967FCA">
      <w:r>
        <w:t xml:space="preserve">Our planned outcomes are that high-quality service user feedback is </w:t>
      </w:r>
      <w:r w:rsidR="008F280D">
        <w:t xml:space="preserve">an element in all decision-making and there is equity in listening. </w:t>
      </w:r>
      <w:r w:rsidR="00967FCA">
        <w:t>W</w:t>
      </w:r>
      <w:r w:rsidR="00D70687">
        <w:t xml:space="preserve">e will actively promote opportunities for people to get involved in the planning and delivery of services </w:t>
      </w:r>
      <w:r w:rsidR="001315F0">
        <w:t xml:space="preserve">through our </w:t>
      </w:r>
      <w:r w:rsidR="001315F0" w:rsidRPr="00891485">
        <w:t>communications methods</w:t>
      </w:r>
      <w:r w:rsidR="00891485">
        <w:t>:</w:t>
      </w:r>
    </w:p>
    <w:p w14:paraId="14B297FA" w14:textId="77777777" w:rsidR="00967FCA" w:rsidRDefault="00967FCA" w:rsidP="00967FCA"/>
    <w:p w14:paraId="63117933" w14:textId="6F8E9E5D" w:rsidR="00D04787" w:rsidRDefault="00173A3A" w:rsidP="00D04787">
      <w:pPr>
        <w:pStyle w:val="Heading4"/>
      </w:pPr>
      <w:r>
        <w:t>Communications</w:t>
      </w:r>
    </w:p>
    <w:p w14:paraId="027614F6" w14:textId="1405FF28" w:rsidR="00D04787" w:rsidRDefault="00AD7D20" w:rsidP="00720094">
      <w:r>
        <w:t xml:space="preserve">Communications activities will focus on </w:t>
      </w:r>
      <w:r w:rsidR="00D04787">
        <w:t>promot</w:t>
      </w:r>
      <w:r>
        <w:t>ing</w:t>
      </w:r>
      <w:r w:rsidR="00D04787">
        <w:t xml:space="preserve"> </w:t>
      </w:r>
      <w:r w:rsidR="00936B12">
        <w:t xml:space="preserve">our own </w:t>
      </w:r>
      <w:r w:rsidR="00D04787">
        <w:t>surveys/activities</w:t>
      </w:r>
      <w:r w:rsidR="00936B12">
        <w:t xml:space="preserve">, and </w:t>
      </w:r>
      <w:r w:rsidR="00684121">
        <w:t xml:space="preserve">opportunities to take part in partner consultations/other </w:t>
      </w:r>
      <w:r w:rsidR="00BD7983">
        <w:t xml:space="preserve">forms of </w:t>
      </w:r>
      <w:r w:rsidR="00684121">
        <w:t xml:space="preserve">involvement </w:t>
      </w:r>
      <w:r w:rsidR="00D04787">
        <w:t>on social media and on the website.</w:t>
      </w:r>
    </w:p>
    <w:p w14:paraId="0A204BBB" w14:textId="77777777" w:rsidR="00B43B28" w:rsidRDefault="00B43B28" w:rsidP="00720094"/>
    <w:p w14:paraId="7FC78C15" w14:textId="2ADD2F8E" w:rsidR="00D04787" w:rsidRDefault="00D04787" w:rsidP="00720094">
      <w:r>
        <w:t xml:space="preserve">Communications </w:t>
      </w:r>
      <w:r w:rsidR="00527C46">
        <w:t>will</w:t>
      </w:r>
      <w:r>
        <w:t xml:space="preserve"> play a supporting role in sending out information about the </w:t>
      </w:r>
      <w:r w:rsidR="00527C46">
        <w:t xml:space="preserve">research </w:t>
      </w:r>
      <w:r>
        <w:t>project to agreed stakeholders</w:t>
      </w:r>
      <w:r w:rsidR="00E236FC">
        <w:t xml:space="preserve"> identified at the start of each project. To include VCSE, NHS, </w:t>
      </w:r>
      <w:r w:rsidR="004360FE">
        <w:t xml:space="preserve">local authority, </w:t>
      </w:r>
      <w:r>
        <w:t>MP</w:t>
      </w:r>
      <w:r w:rsidR="004360FE">
        <w:t xml:space="preserve">s and </w:t>
      </w:r>
      <w:r>
        <w:t>local councillors</w:t>
      </w:r>
      <w:r w:rsidR="004360FE">
        <w:t xml:space="preserve"> as appropriate.</w:t>
      </w:r>
    </w:p>
    <w:p w14:paraId="3342F43C" w14:textId="77777777" w:rsidR="00566323" w:rsidRDefault="00566323" w:rsidP="00720094"/>
    <w:p w14:paraId="25560428" w14:textId="06382729" w:rsidR="00D04787" w:rsidRDefault="00D04787" w:rsidP="00720094">
      <w:r>
        <w:t xml:space="preserve">To support </w:t>
      </w:r>
      <w:r w:rsidR="005A2145">
        <w:t xml:space="preserve">creation of </w:t>
      </w:r>
      <w:r>
        <w:t xml:space="preserve">project outputs </w:t>
      </w:r>
      <w:r w:rsidR="005A2145">
        <w:t xml:space="preserve">e.g. </w:t>
      </w:r>
      <w:r>
        <w:t>video, report</w:t>
      </w:r>
      <w:r w:rsidR="005A2145">
        <w:t xml:space="preserve">, </w:t>
      </w:r>
      <w:r w:rsidR="003002CE">
        <w:t>leaflet</w:t>
      </w:r>
      <w:r>
        <w:t>, ensuring these are accessible to as wide an audience as possible.</w:t>
      </w:r>
    </w:p>
    <w:p w14:paraId="6A40C78C" w14:textId="77777777" w:rsidR="00566323" w:rsidRDefault="00566323" w:rsidP="00720094"/>
    <w:p w14:paraId="6FEA3630" w14:textId="2AA07F4F" w:rsidR="00D04787" w:rsidRPr="000372EE" w:rsidRDefault="00D04787" w:rsidP="00720094">
      <w:r>
        <w:t xml:space="preserve">To publish the </w:t>
      </w:r>
      <w:r w:rsidR="003002CE">
        <w:t>output</w:t>
      </w:r>
      <w:r>
        <w:t xml:space="preserve"> on the website and help promote as required (through social media, to other stakeholders etc).</w:t>
      </w:r>
    </w:p>
    <w:p w14:paraId="451F5329" w14:textId="77777777" w:rsidR="008F6F8F" w:rsidRPr="000372EE" w:rsidRDefault="008F6F8F" w:rsidP="00720094"/>
    <w:p w14:paraId="070EC197" w14:textId="77777777" w:rsidR="008F6F8F" w:rsidRPr="0065478A" w:rsidRDefault="008F6F8F" w:rsidP="008F6F8F">
      <w:pPr>
        <w:pStyle w:val="Heading3"/>
        <w:rPr>
          <w:rStyle w:val="Heading2Char"/>
        </w:rPr>
      </w:pPr>
      <w:r>
        <w:lastRenderedPageBreak/>
        <w:t>Volunteer support</w:t>
      </w:r>
    </w:p>
    <w:p w14:paraId="5C257561" w14:textId="77777777" w:rsidR="008F6F8F" w:rsidRDefault="008F6F8F" w:rsidP="008F6F8F">
      <w:r>
        <w:t>We will continue to develop the Healthwatch Surrey Reading Panel who will influence external communication and information from NHS and social care partners.</w:t>
      </w:r>
    </w:p>
    <w:p w14:paraId="2414EB90" w14:textId="77777777" w:rsidR="008F6F8F" w:rsidRDefault="008F6F8F" w:rsidP="008F6F8F"/>
    <w:p w14:paraId="519DBBFE" w14:textId="4B6A7FE0" w:rsidR="008F6F8F" w:rsidRDefault="008F6F8F" w:rsidP="008F6F8F">
      <w:r>
        <w:t xml:space="preserve">LHWAG members will also represent Healthwatch Surrey in system meetings in a critical friend role, ensuring that patient and public </w:t>
      </w:r>
      <w:r w:rsidR="00702F61">
        <w:t>involvement/</w:t>
      </w:r>
      <w:r>
        <w:t>engagement is transparent and sufficient.</w:t>
      </w:r>
    </w:p>
    <w:p w14:paraId="329FB681" w14:textId="77777777" w:rsidR="00967FCA" w:rsidRDefault="00967FCA" w:rsidP="001315F0"/>
    <w:p w14:paraId="5CFEBAF3" w14:textId="024DC04E" w:rsidR="007C38F9" w:rsidRDefault="007C38F9" w:rsidP="001315F0">
      <w:bookmarkStart w:id="0" w:name="_Community_engagement"/>
      <w:bookmarkEnd w:id="0"/>
      <w:r>
        <w:t xml:space="preserve">Volunteers will also play a vital role in the planning, development and delivery of </w:t>
      </w:r>
      <w:r w:rsidR="003E6977">
        <w:t>all research projects undertaken under the thematic priorities. Volunteers will also be encouraged to capture feedback relating to the thematic priorities independently.</w:t>
      </w:r>
    </w:p>
    <w:p w14:paraId="21B0F4A3" w14:textId="77777777" w:rsidR="003E6977" w:rsidRDefault="003E6977" w:rsidP="001315F0"/>
    <w:p w14:paraId="198427A1" w14:textId="77777777" w:rsidR="001D7646" w:rsidRDefault="001D7646" w:rsidP="001D7646">
      <w:pPr>
        <w:pStyle w:val="Heading3"/>
      </w:pPr>
      <w:r>
        <w:t>The year ahead- evidence, research, influencing</w:t>
      </w:r>
    </w:p>
    <w:p w14:paraId="1128FE91" w14:textId="0228EA32" w:rsidR="00254FCB" w:rsidRDefault="00FC47BE" w:rsidP="00254FCB">
      <w:r>
        <w:t>The table below shows the proposed launch and publication dates of our 4 research projects</w:t>
      </w:r>
      <w:r w:rsidR="00B83809">
        <w:t>.</w:t>
      </w:r>
    </w:p>
    <w:p w14:paraId="3E02ED73" w14:textId="1A833D68" w:rsidR="00B83809" w:rsidRDefault="00B83809" w:rsidP="00254FCB"/>
    <w:p w14:paraId="306CF928" w14:textId="1E451E9B" w:rsidR="00B83809" w:rsidRPr="00254FCB" w:rsidRDefault="00B83809" w:rsidP="00254FCB">
      <w:r>
        <w:t xml:space="preserve">It also shows the publication dates of our “thematic reports” which will replace </w:t>
      </w:r>
      <w:r w:rsidR="00651C40">
        <w:t>the Place reports of 2024-25 and focus on findings from community engagement.</w:t>
      </w:r>
    </w:p>
    <w:p w14:paraId="64E0592C" w14:textId="77F47BE2" w:rsidR="006945D9" w:rsidRPr="006945D9" w:rsidRDefault="00254FCB" w:rsidP="006945D9">
      <w:r w:rsidRPr="00254FCB">
        <w:rPr>
          <w:noProof/>
        </w:rPr>
        <w:drawing>
          <wp:inline distT="0" distB="0" distL="0" distR="0" wp14:anchorId="27C817E1" wp14:editId="3847DC71">
            <wp:extent cx="6645910" cy="901065"/>
            <wp:effectExtent l="0" t="0" r="2540" b="0"/>
            <wp:docPr id="435418084" name="Picture 29" descr="Image of a spreadsheet showing proposed launch and publication dates of reports throughout th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18084" name="Picture 29" descr="Image of a spreadsheet showing proposed launch and publication dates of reports throughout the ye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71113" cy="904482"/>
                    </a:xfrm>
                    <a:prstGeom prst="rect">
                      <a:avLst/>
                    </a:prstGeom>
                    <a:noFill/>
                    <a:ln>
                      <a:noFill/>
                    </a:ln>
                  </pic:spPr>
                </pic:pic>
              </a:graphicData>
            </a:graphic>
          </wp:inline>
        </w:drawing>
      </w:r>
    </w:p>
    <w:p w14:paraId="7DF11CDB" w14:textId="77777777" w:rsidR="001D7646" w:rsidRDefault="001D7646" w:rsidP="001D7646">
      <w:pPr>
        <w:ind w:firstLine="720"/>
        <w:rPr>
          <w:b/>
          <w:bCs/>
          <w:color w:val="004F6B" w:themeColor="text2"/>
          <w:sz w:val="22"/>
        </w:rPr>
      </w:pPr>
    </w:p>
    <w:p w14:paraId="09BA4F79" w14:textId="6479677F" w:rsidR="007F7DB0" w:rsidRDefault="00000650" w:rsidP="00F414B7">
      <w:pPr>
        <w:pStyle w:val="Heading2"/>
      </w:pPr>
      <w:bookmarkStart w:id="1" w:name="_Community_engagement_1"/>
      <w:bookmarkEnd w:id="1"/>
      <w:r>
        <w:t xml:space="preserve">Community engagement </w:t>
      </w:r>
    </w:p>
    <w:p w14:paraId="181AC3D0" w14:textId="23327E83" w:rsidR="001E46F7" w:rsidRDefault="001E46F7" w:rsidP="00BB441A">
      <w:pPr>
        <w:pStyle w:val="Heading3"/>
        <w:numPr>
          <w:ilvl w:val="0"/>
          <w:numId w:val="15"/>
        </w:numPr>
      </w:pPr>
      <w:r>
        <w:t>Community engagement events and surveys</w:t>
      </w:r>
    </w:p>
    <w:p w14:paraId="715A6949" w14:textId="232F8535" w:rsidR="002D255A" w:rsidRDefault="002D255A" w:rsidP="001E46F7">
      <w:pPr>
        <w:pStyle w:val="Heading4"/>
      </w:pPr>
      <w:r>
        <w:t xml:space="preserve">Aims and KPIs </w:t>
      </w:r>
    </w:p>
    <w:p w14:paraId="57D19F78" w14:textId="1C32CEE9" w:rsidR="007F7DB0" w:rsidRDefault="007F7DB0" w:rsidP="007F7DB0">
      <w:r>
        <w:t xml:space="preserve">We will aim to </w:t>
      </w:r>
      <w:r w:rsidR="00617D74">
        <w:t xml:space="preserve">obtain </w:t>
      </w:r>
      <w:r w:rsidR="006F5653">
        <w:t xml:space="preserve">at least </w:t>
      </w:r>
      <w:r w:rsidRPr="006F5653">
        <w:rPr>
          <w:b/>
          <w:bCs/>
        </w:rPr>
        <w:t>680</w:t>
      </w:r>
      <w:r>
        <w:t xml:space="preserve"> experiences </w:t>
      </w:r>
      <w:r w:rsidR="00046D01">
        <w:t>via</w:t>
      </w:r>
      <w:r>
        <w:t xml:space="preserve"> </w:t>
      </w:r>
      <w:r w:rsidR="00513AC0">
        <w:t>this route across the year –these can be from engagement events</w:t>
      </w:r>
      <w:r w:rsidR="006F5653">
        <w:t xml:space="preserve"> (</w:t>
      </w:r>
      <w:r w:rsidR="00513AC0">
        <w:t xml:space="preserve">where we’re speaking to people face to face in the </w:t>
      </w:r>
      <w:r>
        <w:t>communit</w:t>
      </w:r>
      <w:r w:rsidR="006F5653">
        <w:t xml:space="preserve">y) </w:t>
      </w:r>
      <w:r w:rsidR="0081053F">
        <w:t xml:space="preserve">or </w:t>
      </w:r>
      <w:r w:rsidR="00513AC0">
        <w:t xml:space="preserve">online </w:t>
      </w:r>
      <w:r>
        <w:t xml:space="preserve">surveys. </w:t>
      </w:r>
      <w:r w:rsidR="008E3A33">
        <w:t xml:space="preserve">Whilst surveys may enable us to </w:t>
      </w:r>
      <w:r w:rsidR="00EC0DA2">
        <w:t xml:space="preserve">gather </w:t>
      </w:r>
      <w:r w:rsidR="008E3A33">
        <w:t xml:space="preserve">more </w:t>
      </w:r>
      <w:r w:rsidR="00EC0DA2">
        <w:t>experiences</w:t>
      </w:r>
      <w:r w:rsidR="008E3A33">
        <w:t xml:space="preserve">, </w:t>
      </w:r>
      <w:r w:rsidR="00DA4105">
        <w:t>c</w:t>
      </w:r>
      <w:r w:rsidR="007360CC" w:rsidRPr="007360CC">
        <w:t>ommunity engagement provides in</w:t>
      </w:r>
      <w:r w:rsidR="00C54FDF">
        <w:t xml:space="preserve"> </w:t>
      </w:r>
      <w:r w:rsidR="007360CC" w:rsidRPr="007360CC">
        <w:t>depth insights that are difficult to obtain via surveys</w:t>
      </w:r>
      <w:r w:rsidR="007360CC">
        <w:t xml:space="preserve"> alone. </w:t>
      </w:r>
    </w:p>
    <w:p w14:paraId="717971AD" w14:textId="77777777" w:rsidR="008E3A33" w:rsidRDefault="008E3A33" w:rsidP="007F7DB0"/>
    <w:p w14:paraId="1CAE53BA" w14:textId="5D49871C" w:rsidR="00F63E1E" w:rsidRDefault="004036F7" w:rsidP="001E46F7">
      <w:pPr>
        <w:pStyle w:val="Heading4"/>
      </w:pPr>
      <w:r>
        <w:t>Approach</w:t>
      </w:r>
    </w:p>
    <w:p w14:paraId="347767B6" w14:textId="588A5721" w:rsidR="00ED4007" w:rsidRDefault="00ED4007" w:rsidP="008862FB">
      <w:r>
        <w:t>We will deliver</w:t>
      </w:r>
      <w:r w:rsidR="008862FB">
        <w:t xml:space="preserve"> </w:t>
      </w:r>
      <w:r w:rsidR="00563B26">
        <w:rPr>
          <w:b/>
          <w:bCs/>
        </w:rPr>
        <w:t>3</w:t>
      </w:r>
      <w:r w:rsidR="00AE0531">
        <w:rPr>
          <w:b/>
          <w:bCs/>
        </w:rPr>
        <w:t xml:space="preserve"> community engagement event</w:t>
      </w:r>
      <w:r w:rsidR="00563B26">
        <w:rPr>
          <w:b/>
          <w:bCs/>
        </w:rPr>
        <w:t>s</w:t>
      </w:r>
      <w:r w:rsidR="00AE0531">
        <w:rPr>
          <w:b/>
          <w:bCs/>
        </w:rPr>
        <w:t xml:space="preserve"> per thematic priority</w:t>
      </w:r>
      <w:r w:rsidR="00F26EBB">
        <w:rPr>
          <w:b/>
          <w:bCs/>
        </w:rPr>
        <w:t xml:space="preserve"> per </w:t>
      </w:r>
      <w:r w:rsidR="00563B26">
        <w:rPr>
          <w:b/>
          <w:bCs/>
        </w:rPr>
        <w:t xml:space="preserve">quarter </w:t>
      </w:r>
      <w:r w:rsidR="00FF5403">
        <w:rPr>
          <w:b/>
          <w:bCs/>
        </w:rPr>
        <w:t xml:space="preserve">and aim to </w:t>
      </w:r>
      <w:r w:rsidR="0025477C">
        <w:rPr>
          <w:b/>
          <w:bCs/>
        </w:rPr>
        <w:t xml:space="preserve">record </w:t>
      </w:r>
      <w:r w:rsidR="00FF5403">
        <w:rPr>
          <w:b/>
          <w:bCs/>
        </w:rPr>
        <w:t xml:space="preserve">8-10 </w:t>
      </w:r>
      <w:r w:rsidR="0025477C">
        <w:rPr>
          <w:b/>
          <w:bCs/>
        </w:rPr>
        <w:t xml:space="preserve">experiences </w:t>
      </w:r>
      <w:r w:rsidR="00FF5403">
        <w:rPr>
          <w:b/>
          <w:bCs/>
        </w:rPr>
        <w:t xml:space="preserve">at each event. </w:t>
      </w:r>
    </w:p>
    <w:p w14:paraId="7A96D3F2" w14:textId="77777777" w:rsidR="008862FB" w:rsidRPr="00ED4007" w:rsidRDefault="008862FB" w:rsidP="008862FB"/>
    <w:p w14:paraId="44280A7D" w14:textId="76A71F38" w:rsidR="004036F7" w:rsidRDefault="00FF05C9" w:rsidP="004036F7">
      <w:r>
        <w:t xml:space="preserve">Although </w:t>
      </w:r>
      <w:r w:rsidR="002E1660">
        <w:t>there will always be an element of agenda free listening at any community engagement eve</w:t>
      </w:r>
      <w:r w:rsidR="003F1112">
        <w:t xml:space="preserve">nt, </w:t>
      </w:r>
      <w:r w:rsidR="00F26EBB">
        <w:t xml:space="preserve">the </w:t>
      </w:r>
      <w:r w:rsidR="003F1112">
        <w:t>event</w:t>
      </w:r>
      <w:r w:rsidR="00506B6F">
        <w:t>s</w:t>
      </w:r>
      <w:r w:rsidR="003F1112">
        <w:t xml:space="preserve"> we attend </w:t>
      </w:r>
      <w:r w:rsidR="00A41A1E">
        <w:t xml:space="preserve">will be focussed around </w:t>
      </w:r>
      <w:r w:rsidR="004D016F">
        <w:t>our 4</w:t>
      </w:r>
      <w:r w:rsidR="00A41A1E">
        <w:t xml:space="preserve"> </w:t>
      </w:r>
      <w:r w:rsidR="00476A14" w:rsidRPr="00114D6A">
        <w:rPr>
          <w:b/>
          <w:bCs/>
        </w:rPr>
        <w:t xml:space="preserve">thematic </w:t>
      </w:r>
      <w:r w:rsidR="00A41A1E" w:rsidRPr="00114D6A">
        <w:rPr>
          <w:b/>
          <w:bCs/>
        </w:rPr>
        <w:lastRenderedPageBreak/>
        <w:t>priorit</w:t>
      </w:r>
      <w:r w:rsidR="00DD5088">
        <w:rPr>
          <w:b/>
          <w:bCs/>
        </w:rPr>
        <w:t>ies</w:t>
      </w:r>
      <w:r w:rsidR="00A41A1E" w:rsidRPr="00FC1A91">
        <w:t xml:space="preserve"> </w:t>
      </w:r>
      <w:r w:rsidR="003D445B" w:rsidRPr="00FC1A91">
        <w:t xml:space="preserve">- </w:t>
      </w:r>
      <w:r w:rsidR="00A41A1E" w:rsidRPr="00FC1A91">
        <w:t xml:space="preserve">and </w:t>
      </w:r>
      <w:r w:rsidR="00A41A1E" w:rsidRPr="0031514B">
        <w:rPr>
          <w:b/>
          <w:bCs/>
        </w:rPr>
        <w:t xml:space="preserve">specific </w:t>
      </w:r>
      <w:r w:rsidR="005308BC" w:rsidRPr="0031514B">
        <w:rPr>
          <w:b/>
          <w:bCs/>
        </w:rPr>
        <w:t>topic</w:t>
      </w:r>
      <w:r w:rsidR="00DD5088" w:rsidRPr="0031514B">
        <w:rPr>
          <w:b/>
          <w:bCs/>
        </w:rPr>
        <w:t>s</w:t>
      </w:r>
      <w:r w:rsidR="005308BC">
        <w:t xml:space="preserve"> </w:t>
      </w:r>
      <w:r w:rsidR="00A41A1E" w:rsidRPr="00FC1A91">
        <w:t>within th</w:t>
      </w:r>
      <w:r w:rsidR="00DD5088">
        <w:t>ose</w:t>
      </w:r>
      <w:r w:rsidR="00A41A1E" w:rsidRPr="00FC1A91">
        <w:t xml:space="preserve"> </w:t>
      </w:r>
      <w:r w:rsidR="007911E8" w:rsidRPr="00FC1A91">
        <w:t xml:space="preserve">thematic </w:t>
      </w:r>
      <w:r w:rsidR="00A41A1E" w:rsidRPr="00FC1A91">
        <w:t>priorit</w:t>
      </w:r>
      <w:r w:rsidR="00DD5088">
        <w:t>ies</w:t>
      </w:r>
      <w:r w:rsidR="003D445B" w:rsidRPr="00FC1A91">
        <w:t xml:space="preserve"> - </w:t>
      </w:r>
      <w:r w:rsidR="00231275" w:rsidRPr="00FC1A91">
        <w:t xml:space="preserve">to ensure </w:t>
      </w:r>
      <w:r w:rsidR="00F63E1E" w:rsidRPr="00FC1A91">
        <w:t xml:space="preserve">every </w:t>
      </w:r>
      <w:r w:rsidR="007911E8" w:rsidRPr="00FC1A91">
        <w:t>ev</w:t>
      </w:r>
      <w:r w:rsidR="007911E8">
        <w:t>ent supports our overall</w:t>
      </w:r>
      <w:r w:rsidR="003D445B">
        <w:t xml:space="preserve"> </w:t>
      </w:r>
      <w:r w:rsidR="007911E8">
        <w:t>strategy</w:t>
      </w:r>
      <w:r w:rsidR="00D60CF7">
        <w:t xml:space="preserve">. </w:t>
      </w:r>
      <w:r w:rsidR="002F1D47">
        <w:t>Across the year t</w:t>
      </w:r>
      <w:r w:rsidR="00966853">
        <w:t xml:space="preserve">here will be </w:t>
      </w:r>
      <w:r w:rsidR="00DF796F">
        <w:t>4</w:t>
      </w:r>
      <w:r w:rsidR="00966853">
        <w:t xml:space="preserve"> topics </w:t>
      </w:r>
      <w:r w:rsidR="00D22A62">
        <w:t>per thematic priority</w:t>
      </w:r>
      <w:r w:rsidR="000E08EB">
        <w:t xml:space="preserve">, one each quarter. </w:t>
      </w:r>
    </w:p>
    <w:p w14:paraId="0DB402D5" w14:textId="77777777" w:rsidR="003C5084" w:rsidRDefault="003C5084" w:rsidP="004036F7"/>
    <w:p w14:paraId="3E47EB02" w14:textId="65B6580A" w:rsidR="003C5084" w:rsidRDefault="003C5084" w:rsidP="004036F7">
      <w:r>
        <w:t xml:space="preserve">To ensure we are reaching residents across a broad </w:t>
      </w:r>
      <w:r w:rsidRPr="00114D6A">
        <w:rPr>
          <w:b/>
          <w:bCs/>
        </w:rPr>
        <w:t xml:space="preserve">geographical </w:t>
      </w:r>
      <w:r w:rsidR="0091452A" w:rsidRPr="00114D6A">
        <w:rPr>
          <w:b/>
          <w:bCs/>
        </w:rPr>
        <w:t>area</w:t>
      </w:r>
      <w:r w:rsidR="0091452A">
        <w:t xml:space="preserve">, events will be organised by Place, with </w:t>
      </w:r>
      <w:r w:rsidR="00FF7A1A">
        <w:t>each Place visited approximately 8-10 times per year</w:t>
      </w:r>
      <w:r w:rsidR="00211514">
        <w:t xml:space="preserve"> on rotation</w:t>
      </w:r>
      <w:r w:rsidR="00FF7A1A">
        <w:t xml:space="preserve">. </w:t>
      </w:r>
    </w:p>
    <w:p w14:paraId="082F2D81" w14:textId="77777777" w:rsidR="001871C5" w:rsidRDefault="001871C5" w:rsidP="004036F7"/>
    <w:p w14:paraId="08DFF2EC" w14:textId="44CFBA10" w:rsidR="001871C5" w:rsidRDefault="00CF29E8" w:rsidP="004036F7">
      <w:r>
        <w:t>We will aim to</w:t>
      </w:r>
      <w:r w:rsidR="001871C5">
        <w:t xml:space="preserve"> reach </w:t>
      </w:r>
      <w:r>
        <w:t>at least on</w:t>
      </w:r>
      <w:r w:rsidR="0040174E">
        <w:t>e</w:t>
      </w:r>
      <w:r>
        <w:t xml:space="preserve"> of Surrey’s </w:t>
      </w:r>
      <w:r w:rsidR="001871C5" w:rsidRPr="00114D6A">
        <w:rPr>
          <w:b/>
          <w:bCs/>
        </w:rPr>
        <w:t>priority populations</w:t>
      </w:r>
      <w:r w:rsidR="00154681">
        <w:t xml:space="preserve"> at each engagement event</w:t>
      </w:r>
      <w:r w:rsidR="00E271E2">
        <w:t xml:space="preserve">. </w:t>
      </w:r>
    </w:p>
    <w:p w14:paraId="650B1021" w14:textId="77777777" w:rsidR="005C5B23" w:rsidRDefault="005C5B23" w:rsidP="004036F7"/>
    <w:p w14:paraId="42A3A107" w14:textId="30DEF316" w:rsidR="00154681" w:rsidRDefault="00154681" w:rsidP="004036F7">
      <w:r>
        <w:t xml:space="preserve">A set of </w:t>
      </w:r>
      <w:r w:rsidRPr="005D1743">
        <w:rPr>
          <w:b/>
          <w:bCs/>
        </w:rPr>
        <w:t>engagement questions</w:t>
      </w:r>
      <w:r w:rsidR="005D1743">
        <w:t xml:space="preserve"> </w:t>
      </w:r>
      <w:r w:rsidR="00563E87">
        <w:t>will be prepared for each t</w:t>
      </w:r>
      <w:r w:rsidR="00FC587A">
        <w:t xml:space="preserve">opic </w:t>
      </w:r>
      <w:r w:rsidR="00650CDF">
        <w:t xml:space="preserve">(1 </w:t>
      </w:r>
      <w:r w:rsidR="0040174E">
        <w:t xml:space="preserve">topic/set of questions </w:t>
      </w:r>
      <w:r w:rsidR="00650CDF">
        <w:t>per quarter)</w:t>
      </w:r>
      <w:r w:rsidR="00D148E8">
        <w:t xml:space="preserve">. These will be used to guide engagements and </w:t>
      </w:r>
      <w:r w:rsidR="00FC587A">
        <w:t xml:space="preserve">will also be </w:t>
      </w:r>
      <w:r w:rsidR="00D148E8">
        <w:t xml:space="preserve">made </w:t>
      </w:r>
      <w:r w:rsidR="00FC587A">
        <w:t>available via Smart</w:t>
      </w:r>
      <w:r w:rsidR="0040174E">
        <w:t xml:space="preserve"> </w:t>
      </w:r>
      <w:r w:rsidR="00FC587A">
        <w:t>Survey</w:t>
      </w:r>
      <w:r w:rsidR="00D148E8">
        <w:t>,</w:t>
      </w:r>
      <w:r w:rsidR="00A83E6C">
        <w:t xml:space="preserve"> to be shared and promoted via </w:t>
      </w:r>
      <w:r w:rsidR="009737E8">
        <w:t>Healthwatch Surrey social media channels</w:t>
      </w:r>
      <w:r w:rsidR="00A83E6C">
        <w:t xml:space="preserve"> and volunteers. </w:t>
      </w:r>
      <w:r w:rsidR="006E45CD">
        <w:t xml:space="preserve">We will also look to share the survey with relevant groups and organisations. </w:t>
      </w:r>
    </w:p>
    <w:p w14:paraId="508A82A2" w14:textId="77777777" w:rsidR="00543546" w:rsidRDefault="00543546" w:rsidP="004036F7"/>
    <w:p w14:paraId="637E2BE9" w14:textId="668D16CB" w:rsidR="00543546" w:rsidRDefault="00543546" w:rsidP="00543546">
      <w:pPr>
        <w:rPr>
          <w:i/>
          <w:iCs/>
        </w:rPr>
      </w:pPr>
      <w:r w:rsidRPr="00543546">
        <w:rPr>
          <w:i/>
          <w:iCs/>
        </w:rPr>
        <w:t xml:space="preserve">Example work plan for events focussed </w:t>
      </w:r>
      <w:proofErr w:type="gramStart"/>
      <w:r w:rsidRPr="00543546">
        <w:rPr>
          <w:i/>
          <w:iCs/>
        </w:rPr>
        <w:t>around</w:t>
      </w:r>
      <w:proofErr w:type="gramEnd"/>
      <w:r w:rsidRPr="00543546">
        <w:rPr>
          <w:i/>
          <w:iCs/>
        </w:rPr>
        <w:t xml:space="preserve"> thematic priorities. Please </w:t>
      </w:r>
      <w:proofErr w:type="gramStart"/>
      <w:r w:rsidRPr="00543546">
        <w:rPr>
          <w:i/>
          <w:iCs/>
        </w:rPr>
        <w:t>note:</w:t>
      </w:r>
      <w:proofErr w:type="gramEnd"/>
      <w:r w:rsidRPr="00543546">
        <w:rPr>
          <w:i/>
          <w:iCs/>
        </w:rPr>
        <w:t xml:space="preserve"> this is an example workplan for illustrative purposes only. </w:t>
      </w:r>
    </w:p>
    <w:p w14:paraId="3D70DF33" w14:textId="55A902D2" w:rsidR="000D7478" w:rsidRDefault="0089379D" w:rsidP="00543546">
      <w:pPr>
        <w:rPr>
          <w:i/>
          <w:iCs/>
        </w:rPr>
      </w:pPr>
      <w:r>
        <w:rPr>
          <w:noProof/>
        </w:rPr>
        <w:drawing>
          <wp:anchor distT="0" distB="0" distL="114300" distR="114300" simplePos="0" relativeHeight="251658265" behindDoc="1" locked="0" layoutInCell="1" allowOverlap="1" wp14:anchorId="38AB2124" wp14:editId="06590D37">
            <wp:simplePos x="0" y="0"/>
            <wp:positionH relativeFrom="margin">
              <wp:align>right</wp:align>
            </wp:positionH>
            <wp:positionV relativeFrom="paragraph">
              <wp:posOffset>292735</wp:posOffset>
            </wp:positionV>
            <wp:extent cx="6971931" cy="2324100"/>
            <wp:effectExtent l="0" t="0" r="635" b="0"/>
            <wp:wrapTight wrapText="bothSides">
              <wp:wrapPolygon edited="0">
                <wp:start x="0" y="0"/>
                <wp:lineTo x="0" y="21423"/>
                <wp:lineTo x="21543" y="21423"/>
                <wp:lineTo x="21543" y="0"/>
                <wp:lineTo x="0" y="0"/>
              </wp:wrapPolygon>
            </wp:wrapTight>
            <wp:docPr id="1410385015" name="Picture 27" descr="Image of a table detailing different engagement areas for each of the quarters throughout th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85015" name="Picture 27" descr="Image of a table detailing different engagement areas for each of the quarters throughout the yea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71931" cy="2324100"/>
                    </a:xfrm>
                    <a:prstGeom prst="rect">
                      <a:avLst/>
                    </a:prstGeom>
                    <a:noFill/>
                  </pic:spPr>
                </pic:pic>
              </a:graphicData>
            </a:graphic>
          </wp:anchor>
        </w:drawing>
      </w:r>
    </w:p>
    <w:p w14:paraId="21D6C476" w14:textId="615003A7" w:rsidR="00543546" w:rsidRDefault="00543546" w:rsidP="004036F7"/>
    <w:p w14:paraId="483E9CA2" w14:textId="30283829" w:rsidR="00374F89" w:rsidRPr="00787FDD" w:rsidRDefault="00543546" w:rsidP="001E46F7">
      <w:pPr>
        <w:pStyle w:val="Heading4"/>
      </w:pPr>
      <w:r>
        <w:t xml:space="preserve">Organisation and planning </w:t>
      </w:r>
    </w:p>
    <w:p w14:paraId="6107CF7F" w14:textId="3A086FFC" w:rsidR="00E315D8" w:rsidRDefault="00A5233F" w:rsidP="004036F7">
      <w:r>
        <w:t>Community e</w:t>
      </w:r>
      <w:r w:rsidR="002013CD">
        <w:t xml:space="preserve">ngagement will be organised </w:t>
      </w:r>
      <w:r w:rsidR="009737E8">
        <w:t xml:space="preserve">on a quarterly basis, </w:t>
      </w:r>
      <w:r w:rsidR="00170D51">
        <w:t>one quarter in advance</w:t>
      </w:r>
      <w:r w:rsidR="00EA7CB5">
        <w:t xml:space="preserve">, with some room for flexibility </w:t>
      </w:r>
      <w:r w:rsidR="00216E80">
        <w:t>based on system needs / priorities</w:t>
      </w:r>
      <w:r w:rsidR="00FF44CC">
        <w:t xml:space="preserve">. </w:t>
      </w:r>
    </w:p>
    <w:p w14:paraId="4A0B69C3" w14:textId="77777777" w:rsidR="00374F89" w:rsidRDefault="00374F89" w:rsidP="00D04787"/>
    <w:p w14:paraId="155B09E9" w14:textId="1C7B878A" w:rsidR="00E315D8" w:rsidRDefault="00E315D8" w:rsidP="001E46F7">
      <w:pPr>
        <w:pStyle w:val="Heading4"/>
      </w:pPr>
      <w:r>
        <w:lastRenderedPageBreak/>
        <w:t xml:space="preserve">Reporting </w:t>
      </w:r>
    </w:p>
    <w:p w14:paraId="66E655B2" w14:textId="662133A7" w:rsidR="00A20840" w:rsidRDefault="00216E80" w:rsidP="00216E80">
      <w:r>
        <w:t xml:space="preserve">We will produce </w:t>
      </w:r>
      <w:r w:rsidR="00EA7CB5">
        <w:rPr>
          <w:b/>
          <w:bCs/>
        </w:rPr>
        <w:t>1</w:t>
      </w:r>
      <w:r w:rsidRPr="00216E80">
        <w:rPr>
          <w:b/>
          <w:bCs/>
        </w:rPr>
        <w:t xml:space="preserve"> x thematic priority report per </w:t>
      </w:r>
      <w:r w:rsidR="00A542D9">
        <w:rPr>
          <w:b/>
          <w:bCs/>
        </w:rPr>
        <w:t xml:space="preserve">thematic priority per </w:t>
      </w:r>
      <w:r w:rsidR="00EA7CB5">
        <w:rPr>
          <w:b/>
          <w:bCs/>
        </w:rPr>
        <w:t xml:space="preserve">quarter </w:t>
      </w:r>
      <w:r w:rsidR="00A542D9">
        <w:rPr>
          <w:b/>
          <w:bCs/>
        </w:rPr>
        <w:t>(</w:t>
      </w:r>
      <w:r w:rsidR="00836E29">
        <w:rPr>
          <w:b/>
          <w:bCs/>
        </w:rPr>
        <w:t>16</w:t>
      </w:r>
      <w:r w:rsidR="00CB7580">
        <w:rPr>
          <w:b/>
          <w:bCs/>
        </w:rPr>
        <w:t xml:space="preserve"> in total)</w:t>
      </w:r>
      <w:r w:rsidR="005A6E57">
        <w:rPr>
          <w:b/>
          <w:bCs/>
        </w:rPr>
        <w:t>*</w:t>
      </w:r>
      <w:r w:rsidR="00C80B04">
        <w:rPr>
          <w:b/>
          <w:bCs/>
        </w:rPr>
        <w:t xml:space="preserve">, </w:t>
      </w:r>
      <w:r w:rsidR="00C80B04" w:rsidRPr="00C80B04">
        <w:t xml:space="preserve">with a breakout section on priority populations </w:t>
      </w:r>
      <w:r w:rsidR="00C80B04">
        <w:t xml:space="preserve">where possible / appropriate. </w:t>
      </w:r>
      <w:r w:rsidR="00A20840">
        <w:t>These will be shared at the following</w:t>
      </w:r>
      <w:r w:rsidR="00F938F2">
        <w:t>:</w:t>
      </w:r>
    </w:p>
    <w:p w14:paraId="5272404C" w14:textId="77777777" w:rsidR="00990654" w:rsidRDefault="00990654" w:rsidP="00216E80"/>
    <w:p w14:paraId="26F0CEFA" w14:textId="77777777" w:rsidR="00990654" w:rsidRDefault="00A20840" w:rsidP="00A20840">
      <w:pPr>
        <w:pStyle w:val="ListParagraph"/>
        <w:numPr>
          <w:ilvl w:val="0"/>
          <w:numId w:val="18"/>
        </w:numPr>
      </w:pPr>
      <w:r>
        <w:t>Primary care</w:t>
      </w:r>
    </w:p>
    <w:p w14:paraId="69BBEA34" w14:textId="77777777" w:rsidR="00990654" w:rsidRDefault="00990654" w:rsidP="00990654">
      <w:pPr>
        <w:pStyle w:val="ListParagraph"/>
        <w:numPr>
          <w:ilvl w:val="1"/>
          <w:numId w:val="18"/>
        </w:numPr>
      </w:pPr>
      <w:r>
        <w:t>Primary Care Commissioning Committee (PCCC)</w:t>
      </w:r>
    </w:p>
    <w:p w14:paraId="3841F84A" w14:textId="77777777" w:rsidR="0007392C" w:rsidRDefault="00990654" w:rsidP="00990654">
      <w:pPr>
        <w:pStyle w:val="ListParagraph"/>
        <w:numPr>
          <w:ilvl w:val="1"/>
          <w:numId w:val="18"/>
        </w:numPr>
      </w:pPr>
      <w:r>
        <w:t>Surrey Heartlands Access Board</w:t>
      </w:r>
    </w:p>
    <w:p w14:paraId="6790EF57" w14:textId="5D9486D1" w:rsidR="0007392C" w:rsidRDefault="00B3635A" w:rsidP="0007392C">
      <w:pPr>
        <w:pStyle w:val="ListParagraph"/>
        <w:numPr>
          <w:ilvl w:val="1"/>
          <w:numId w:val="18"/>
        </w:numPr>
      </w:pPr>
      <w:r>
        <w:t>Frimley PC POD Board</w:t>
      </w:r>
    </w:p>
    <w:p w14:paraId="25A9C8C7" w14:textId="25D5D5D7" w:rsidR="00B3635A" w:rsidRDefault="00B3635A" w:rsidP="0007392C">
      <w:pPr>
        <w:pStyle w:val="ListParagraph"/>
        <w:numPr>
          <w:ilvl w:val="1"/>
          <w:numId w:val="18"/>
        </w:numPr>
      </w:pPr>
      <w:r>
        <w:t>Frimley P</w:t>
      </w:r>
      <w:r w:rsidR="00E75873">
        <w:t xml:space="preserve">C GP Board </w:t>
      </w:r>
    </w:p>
    <w:p w14:paraId="287C605A" w14:textId="1CE8D1D2" w:rsidR="0007392C" w:rsidRDefault="0007392C" w:rsidP="00A16A4A">
      <w:pPr>
        <w:pStyle w:val="ListParagraph"/>
        <w:numPr>
          <w:ilvl w:val="0"/>
          <w:numId w:val="18"/>
        </w:numPr>
      </w:pPr>
      <w:r>
        <w:t>Mental Health</w:t>
      </w:r>
    </w:p>
    <w:p w14:paraId="0EB6519A" w14:textId="2FED3D77" w:rsidR="00A16A4A" w:rsidRDefault="00A16A4A" w:rsidP="00A16A4A">
      <w:pPr>
        <w:pStyle w:val="ListParagraph"/>
        <w:numPr>
          <w:ilvl w:val="1"/>
          <w:numId w:val="18"/>
        </w:numPr>
      </w:pPr>
      <w:r>
        <w:t>Surrey and Borders Partnership Learning from Patient Experience Forum</w:t>
      </w:r>
    </w:p>
    <w:p w14:paraId="15124538" w14:textId="0CD94570" w:rsidR="00A16A4A" w:rsidRPr="00A16A4A" w:rsidRDefault="00A16A4A" w:rsidP="00A16A4A">
      <w:pPr>
        <w:pStyle w:val="ListParagraph"/>
        <w:numPr>
          <w:ilvl w:val="1"/>
          <w:numId w:val="18"/>
        </w:numPr>
      </w:pPr>
      <w:r>
        <w:t xml:space="preserve">Surrey Heartlands All Age Mental Health and Learning Disability Oversight Group </w:t>
      </w:r>
    </w:p>
    <w:p w14:paraId="1374D690" w14:textId="0805EB51" w:rsidR="0007392C" w:rsidRDefault="0007392C" w:rsidP="0007392C">
      <w:pPr>
        <w:pStyle w:val="ListParagraph"/>
        <w:numPr>
          <w:ilvl w:val="0"/>
          <w:numId w:val="18"/>
        </w:numPr>
      </w:pPr>
      <w:r>
        <w:t>Social care</w:t>
      </w:r>
      <w:r w:rsidR="005A6E57">
        <w:t xml:space="preserve"> / public health </w:t>
      </w:r>
    </w:p>
    <w:p w14:paraId="61650F5E" w14:textId="4456D5C9" w:rsidR="001A2198" w:rsidRPr="001A2198" w:rsidRDefault="001A2198" w:rsidP="001A2198">
      <w:pPr>
        <w:pStyle w:val="ListParagraph"/>
        <w:numPr>
          <w:ilvl w:val="1"/>
          <w:numId w:val="18"/>
        </w:numPr>
        <w:rPr>
          <w:color w:val="FF0000"/>
        </w:rPr>
      </w:pPr>
      <w:r w:rsidRPr="002B5933">
        <w:t>Public Health Area Board meetings</w:t>
      </w:r>
    </w:p>
    <w:p w14:paraId="5BBC2306" w14:textId="3E20BE08" w:rsidR="00B83FC9" w:rsidRPr="001A2198" w:rsidRDefault="001A2198" w:rsidP="001A2198">
      <w:pPr>
        <w:pStyle w:val="ListParagraph"/>
        <w:numPr>
          <w:ilvl w:val="1"/>
          <w:numId w:val="18"/>
        </w:numPr>
        <w:rPr>
          <w:color w:val="FF0000"/>
        </w:rPr>
      </w:pPr>
      <w:r w:rsidRPr="002B5933">
        <w:t>Adult Social Care Area Board meetings</w:t>
      </w:r>
    </w:p>
    <w:p w14:paraId="40C0A2E5" w14:textId="759194D7" w:rsidR="0007392C" w:rsidRPr="00065777" w:rsidRDefault="0007392C" w:rsidP="0007392C">
      <w:pPr>
        <w:pStyle w:val="ListParagraph"/>
        <w:numPr>
          <w:ilvl w:val="0"/>
          <w:numId w:val="18"/>
        </w:numPr>
      </w:pPr>
      <w:r w:rsidRPr="00065777">
        <w:t xml:space="preserve">Involvement of people </w:t>
      </w:r>
    </w:p>
    <w:p w14:paraId="64B2481A" w14:textId="171408C1" w:rsidR="0007392C" w:rsidRPr="00065777" w:rsidRDefault="0007392C" w:rsidP="0007392C">
      <w:pPr>
        <w:pStyle w:val="ListParagraph"/>
        <w:numPr>
          <w:ilvl w:val="1"/>
          <w:numId w:val="18"/>
        </w:numPr>
      </w:pPr>
      <w:r w:rsidRPr="00065777">
        <w:t>TBC dependent on topic</w:t>
      </w:r>
    </w:p>
    <w:p w14:paraId="0B165426" w14:textId="77777777" w:rsidR="0007392C" w:rsidRDefault="0007392C" w:rsidP="005A6E57">
      <w:pPr>
        <w:rPr>
          <w:color w:val="FF0000"/>
        </w:rPr>
      </w:pPr>
    </w:p>
    <w:p w14:paraId="3DC1D835" w14:textId="6EE5C46B" w:rsidR="005A6E57" w:rsidRPr="005A6E57" w:rsidRDefault="005A6E57" w:rsidP="005A6E57">
      <w:r w:rsidRPr="005A6E57">
        <w:t xml:space="preserve">* </w:t>
      </w:r>
      <w:proofErr w:type="gramStart"/>
      <w:r w:rsidRPr="005A6E57">
        <w:t>for</w:t>
      </w:r>
      <w:proofErr w:type="gramEnd"/>
      <w:r w:rsidRPr="005A6E57">
        <w:t xml:space="preserve"> social care there will be 2 x social care reports and 2 x public health reports across the year.</w:t>
      </w:r>
    </w:p>
    <w:p w14:paraId="031E5F30" w14:textId="77777777" w:rsidR="00F540CA" w:rsidRDefault="00F540CA" w:rsidP="005A6E57">
      <w:pPr>
        <w:rPr>
          <w:color w:val="FF0000"/>
        </w:rPr>
      </w:pPr>
    </w:p>
    <w:p w14:paraId="3409F3DB" w14:textId="02C60E47" w:rsidR="005A6E57" w:rsidRPr="00F540CA" w:rsidRDefault="00F540CA" w:rsidP="005A6E57">
      <w:r w:rsidRPr="00F540CA">
        <w:t>We will</w:t>
      </w:r>
      <w:r w:rsidR="007301A5" w:rsidRPr="00F540CA">
        <w:t xml:space="preserve"> summarise our insight quarterly to feed into HWBB/ICP priority updates.</w:t>
      </w:r>
    </w:p>
    <w:p w14:paraId="29858260" w14:textId="77777777" w:rsidR="007301A5" w:rsidRPr="005A6E57" w:rsidRDefault="007301A5" w:rsidP="005A6E57">
      <w:pPr>
        <w:rPr>
          <w:color w:val="FF0000"/>
        </w:rPr>
      </w:pPr>
    </w:p>
    <w:p w14:paraId="2A1318C7" w14:textId="68A38CDC" w:rsidR="00002546" w:rsidRDefault="00787FDD" w:rsidP="001E46F7">
      <w:pPr>
        <w:pStyle w:val="Heading4"/>
      </w:pPr>
      <w:r>
        <w:t xml:space="preserve">Support </w:t>
      </w:r>
    </w:p>
    <w:p w14:paraId="5D56777C" w14:textId="3D8C43E9" w:rsidR="005834B0" w:rsidRPr="00395294" w:rsidRDefault="005834B0" w:rsidP="005834B0">
      <w:pPr>
        <w:pStyle w:val="Heading4"/>
        <w:numPr>
          <w:ilvl w:val="0"/>
          <w:numId w:val="14"/>
        </w:numPr>
        <w:rPr>
          <w:sz w:val="22"/>
          <w:szCs w:val="20"/>
        </w:rPr>
      </w:pPr>
      <w:r w:rsidRPr="00395294">
        <w:rPr>
          <w:sz w:val="22"/>
          <w:szCs w:val="20"/>
        </w:rPr>
        <w:t>Volunteers</w:t>
      </w:r>
    </w:p>
    <w:p w14:paraId="59A23244" w14:textId="7732B128" w:rsidR="003C4678" w:rsidRDefault="0089421F" w:rsidP="003C4678">
      <w:r>
        <w:t>Volunteer</w:t>
      </w:r>
      <w:r w:rsidR="00E7684E">
        <w:t xml:space="preserve">s </w:t>
      </w:r>
      <w:r>
        <w:t>can i</w:t>
      </w:r>
      <w:r w:rsidRPr="0089421F">
        <w:t xml:space="preserve">ncrease </w:t>
      </w:r>
      <w:r>
        <w:t xml:space="preserve">the </w:t>
      </w:r>
      <w:r w:rsidRPr="0089421F">
        <w:t xml:space="preserve">visibility of events to encourage attendance (and experience sharing for those who can’t attend) via </w:t>
      </w:r>
      <w:r w:rsidR="00846C95">
        <w:t xml:space="preserve">their </w:t>
      </w:r>
      <w:r w:rsidRPr="0089421F">
        <w:t xml:space="preserve">own local </w:t>
      </w:r>
      <w:r w:rsidR="0067794D" w:rsidRPr="0089421F">
        <w:t>presence and</w:t>
      </w:r>
      <w:r w:rsidRPr="0089421F">
        <w:t xml:space="preserve"> increase experience uptake at events themselves.</w:t>
      </w:r>
    </w:p>
    <w:p w14:paraId="129127BB" w14:textId="77777777" w:rsidR="00E7684E" w:rsidRDefault="00E7684E" w:rsidP="003C4678"/>
    <w:p w14:paraId="166746EC" w14:textId="18F62164" w:rsidR="00487867" w:rsidRDefault="00487867" w:rsidP="003C4678">
      <w:pPr>
        <w:rPr>
          <w:b/>
          <w:bCs/>
        </w:rPr>
      </w:pPr>
      <w:r>
        <w:rPr>
          <w:b/>
          <w:bCs/>
        </w:rPr>
        <w:t>Specifically:</w:t>
      </w:r>
    </w:p>
    <w:p w14:paraId="756F8532" w14:textId="77777777" w:rsidR="00487867" w:rsidRDefault="00E7684E" w:rsidP="00487867">
      <w:pPr>
        <w:pStyle w:val="ListParagraph"/>
        <w:numPr>
          <w:ilvl w:val="0"/>
          <w:numId w:val="21"/>
        </w:numPr>
        <w:rPr>
          <w:b/>
          <w:bCs/>
        </w:rPr>
      </w:pPr>
      <w:r w:rsidRPr="00487867">
        <w:rPr>
          <w:b/>
          <w:bCs/>
        </w:rPr>
        <w:t>We will aim to have 1 x volunteer at each event</w:t>
      </w:r>
      <w:r w:rsidR="0089775F" w:rsidRPr="00487867">
        <w:rPr>
          <w:b/>
          <w:bCs/>
        </w:rPr>
        <w:t xml:space="preserve">. </w:t>
      </w:r>
    </w:p>
    <w:p w14:paraId="3CEAC9F8" w14:textId="77777777" w:rsidR="00487867" w:rsidRDefault="0089775F" w:rsidP="00487867">
      <w:pPr>
        <w:pStyle w:val="ListParagraph"/>
        <w:numPr>
          <w:ilvl w:val="0"/>
          <w:numId w:val="21"/>
        </w:numPr>
        <w:rPr>
          <w:b/>
          <w:bCs/>
        </w:rPr>
      </w:pPr>
      <w:r w:rsidRPr="00487867">
        <w:rPr>
          <w:b/>
          <w:bCs/>
        </w:rPr>
        <w:t>If comfortable we will ask volunteers to share details of events on their own local netw</w:t>
      </w:r>
      <w:r w:rsidR="0011107E" w:rsidRPr="00487867">
        <w:rPr>
          <w:b/>
          <w:bCs/>
        </w:rPr>
        <w:t>orks</w:t>
      </w:r>
      <w:r w:rsidR="00B31394" w:rsidRPr="00487867">
        <w:rPr>
          <w:b/>
          <w:bCs/>
        </w:rPr>
        <w:t xml:space="preserve"> and / or to report on events after they’ve happened</w:t>
      </w:r>
      <w:r w:rsidR="0011107E" w:rsidRPr="00487867">
        <w:rPr>
          <w:b/>
          <w:bCs/>
        </w:rPr>
        <w:t xml:space="preserve">. </w:t>
      </w:r>
    </w:p>
    <w:p w14:paraId="5BCFC84B" w14:textId="47925D14" w:rsidR="00E7684E" w:rsidRPr="00487867" w:rsidRDefault="00836E29" w:rsidP="00487867">
      <w:pPr>
        <w:pStyle w:val="ListParagraph"/>
        <w:numPr>
          <w:ilvl w:val="0"/>
          <w:numId w:val="21"/>
        </w:numPr>
        <w:rPr>
          <w:b/>
          <w:bCs/>
        </w:rPr>
      </w:pPr>
      <w:r w:rsidRPr="00487867">
        <w:rPr>
          <w:b/>
          <w:bCs/>
        </w:rPr>
        <w:t>We will ask volunteers to share the Smart</w:t>
      </w:r>
      <w:r w:rsidR="00E062BD">
        <w:rPr>
          <w:b/>
          <w:bCs/>
        </w:rPr>
        <w:t xml:space="preserve"> </w:t>
      </w:r>
      <w:r w:rsidRPr="00487867">
        <w:rPr>
          <w:b/>
          <w:bCs/>
        </w:rPr>
        <w:t xml:space="preserve">Survey. </w:t>
      </w:r>
    </w:p>
    <w:p w14:paraId="2BF36A0F" w14:textId="77777777" w:rsidR="0058271E" w:rsidRDefault="0058271E" w:rsidP="0058271E"/>
    <w:p w14:paraId="4D6361B4" w14:textId="08E23ADD" w:rsidR="00F508FC" w:rsidRPr="00395294" w:rsidRDefault="00F508FC" w:rsidP="0011107E">
      <w:pPr>
        <w:pStyle w:val="Heading4"/>
        <w:numPr>
          <w:ilvl w:val="0"/>
          <w:numId w:val="14"/>
        </w:numPr>
        <w:rPr>
          <w:sz w:val="22"/>
          <w:szCs w:val="20"/>
        </w:rPr>
      </w:pPr>
      <w:r w:rsidRPr="00395294">
        <w:rPr>
          <w:sz w:val="22"/>
          <w:szCs w:val="20"/>
        </w:rPr>
        <w:lastRenderedPageBreak/>
        <w:t>Comm</w:t>
      </w:r>
      <w:r w:rsidR="000A617E">
        <w:rPr>
          <w:sz w:val="22"/>
          <w:szCs w:val="20"/>
        </w:rPr>
        <w:t>unication</w:t>
      </w:r>
      <w:r w:rsidRPr="00395294">
        <w:rPr>
          <w:sz w:val="22"/>
          <w:szCs w:val="20"/>
        </w:rPr>
        <w:t>s</w:t>
      </w:r>
    </w:p>
    <w:p w14:paraId="5C848838" w14:textId="76B4AF7E" w:rsidR="00B8700D" w:rsidRDefault="00B8700D" w:rsidP="00B8700D">
      <w:r>
        <w:t>Comm</w:t>
      </w:r>
      <w:r w:rsidR="000A617E">
        <w:t>unication</w:t>
      </w:r>
      <w:r>
        <w:t>s activity will</w:t>
      </w:r>
      <w:r w:rsidR="00B31394">
        <w:t xml:space="preserve"> </w:t>
      </w:r>
      <w:r>
        <w:t>i</w:t>
      </w:r>
      <w:r w:rsidRPr="00B8700D">
        <w:t xml:space="preserve">ncrease </w:t>
      </w:r>
      <w:r w:rsidR="00B31394">
        <w:t xml:space="preserve">the </w:t>
      </w:r>
      <w:r w:rsidRPr="00B8700D">
        <w:t>visibility of events to encourage attendance (and experience sharing for those who can’t</w:t>
      </w:r>
      <w:r w:rsidR="00B31394">
        <w:t xml:space="preserve"> attend</w:t>
      </w:r>
      <w:r w:rsidRPr="00B8700D">
        <w:t xml:space="preserve">) and demonstrate impact post event. </w:t>
      </w:r>
      <w:r w:rsidR="00713978">
        <w:t>Comm</w:t>
      </w:r>
      <w:r w:rsidR="000A617E">
        <w:t>unications</w:t>
      </w:r>
      <w:r w:rsidR="00713978">
        <w:t xml:space="preserve"> support will also be invaluable for </w:t>
      </w:r>
      <w:r w:rsidR="00351AEA">
        <w:t xml:space="preserve">increasing uptake of </w:t>
      </w:r>
      <w:r w:rsidR="00860438">
        <w:t>our Smart</w:t>
      </w:r>
      <w:r w:rsidR="004B28C5">
        <w:t xml:space="preserve"> S</w:t>
      </w:r>
      <w:r w:rsidR="00860438">
        <w:t>urvey</w:t>
      </w:r>
      <w:r w:rsidR="00351AEA">
        <w:t>s</w:t>
      </w:r>
      <w:r w:rsidR="004B28C5">
        <w:t xml:space="preserve"> and for</w:t>
      </w:r>
      <w:r w:rsidR="00351AEA">
        <w:t xml:space="preserve"> </w:t>
      </w:r>
      <w:r w:rsidR="00EC1EFC">
        <w:t xml:space="preserve">building relationships </w:t>
      </w:r>
      <w:r w:rsidR="00F17210">
        <w:t xml:space="preserve">– and routes in - </w:t>
      </w:r>
      <w:r w:rsidR="00EC1EFC">
        <w:t xml:space="preserve">with the organisations who work with and support harder to reach groups </w:t>
      </w:r>
      <w:r w:rsidR="00F17210">
        <w:t xml:space="preserve">and priority populations. </w:t>
      </w:r>
    </w:p>
    <w:p w14:paraId="4308D01A" w14:textId="77777777" w:rsidR="00B8700D" w:rsidRDefault="00B8700D" w:rsidP="00B8700D"/>
    <w:p w14:paraId="6E1D3A69" w14:textId="6B193197" w:rsidR="00487867" w:rsidRPr="00E062BD" w:rsidRDefault="00E062BD" w:rsidP="00B8700D">
      <w:pPr>
        <w:rPr>
          <w:b/>
          <w:bCs/>
        </w:rPr>
      </w:pPr>
      <w:r w:rsidRPr="00E062BD">
        <w:rPr>
          <w:b/>
          <w:bCs/>
        </w:rPr>
        <w:t>Specifically</w:t>
      </w:r>
      <w:r w:rsidR="00487867" w:rsidRPr="00E062BD">
        <w:rPr>
          <w:b/>
          <w:bCs/>
        </w:rPr>
        <w:t>:</w:t>
      </w:r>
    </w:p>
    <w:p w14:paraId="5483D53B" w14:textId="7BEB4A24" w:rsidR="00CF6F47" w:rsidRDefault="000A617E" w:rsidP="00CF6F47">
      <w:pPr>
        <w:pStyle w:val="ListParagraph"/>
        <w:numPr>
          <w:ilvl w:val="0"/>
          <w:numId w:val="20"/>
        </w:numPr>
        <w:rPr>
          <w:b/>
          <w:bCs/>
        </w:rPr>
      </w:pPr>
      <w:r w:rsidRPr="026E7585">
        <w:rPr>
          <w:b/>
          <w:bCs/>
        </w:rPr>
        <w:t>Events</w:t>
      </w:r>
      <w:r w:rsidR="009E48FB" w:rsidRPr="026E7585">
        <w:rPr>
          <w:b/>
          <w:bCs/>
        </w:rPr>
        <w:t xml:space="preserve"> will be promoted </w:t>
      </w:r>
      <w:r w:rsidR="00F7220A" w:rsidRPr="026E7585">
        <w:rPr>
          <w:b/>
          <w:bCs/>
        </w:rPr>
        <w:t xml:space="preserve">in our Insight </w:t>
      </w:r>
      <w:r w:rsidR="1B382CEA" w:rsidRPr="026E7585">
        <w:rPr>
          <w:b/>
          <w:bCs/>
        </w:rPr>
        <w:t>b</w:t>
      </w:r>
      <w:r w:rsidR="00F7220A" w:rsidRPr="026E7585">
        <w:rPr>
          <w:b/>
          <w:bCs/>
        </w:rPr>
        <w:t>ulletin</w:t>
      </w:r>
      <w:r w:rsidR="00C433F0" w:rsidRPr="026E7585">
        <w:rPr>
          <w:b/>
          <w:bCs/>
        </w:rPr>
        <w:t>, on our website</w:t>
      </w:r>
      <w:r w:rsidR="00F7220A" w:rsidRPr="026E7585">
        <w:rPr>
          <w:b/>
          <w:bCs/>
        </w:rPr>
        <w:t xml:space="preserve"> and on our social media channels. </w:t>
      </w:r>
    </w:p>
    <w:p w14:paraId="489C8F96" w14:textId="77777777" w:rsidR="00CF6F47" w:rsidRDefault="00F7220A" w:rsidP="00CF6F47">
      <w:pPr>
        <w:pStyle w:val="ListParagraph"/>
        <w:numPr>
          <w:ilvl w:val="0"/>
          <w:numId w:val="20"/>
        </w:numPr>
        <w:rPr>
          <w:b/>
          <w:bCs/>
        </w:rPr>
      </w:pPr>
      <w:r w:rsidRPr="00CF6F47">
        <w:rPr>
          <w:b/>
          <w:bCs/>
        </w:rPr>
        <w:t xml:space="preserve">There will be 1 x LinkedIn post after each event, from the event organiser, </w:t>
      </w:r>
      <w:r w:rsidR="00231F07" w:rsidRPr="00CF6F47">
        <w:rPr>
          <w:b/>
          <w:bCs/>
        </w:rPr>
        <w:t xml:space="preserve">which will be shared by the </w:t>
      </w:r>
      <w:r w:rsidR="000A617E" w:rsidRPr="00CF6F47">
        <w:rPr>
          <w:b/>
          <w:bCs/>
        </w:rPr>
        <w:t>Healthwatch Surrey LinkedIn</w:t>
      </w:r>
      <w:r w:rsidR="00231F07" w:rsidRPr="00CF6F47">
        <w:rPr>
          <w:b/>
          <w:bCs/>
        </w:rPr>
        <w:t xml:space="preserve"> account. </w:t>
      </w:r>
    </w:p>
    <w:p w14:paraId="352501FC" w14:textId="2E02014C" w:rsidR="00D52BF6" w:rsidRPr="00D52BF6" w:rsidRDefault="00650CDF" w:rsidP="00C0645E">
      <w:pPr>
        <w:pStyle w:val="ListParagraph"/>
        <w:numPr>
          <w:ilvl w:val="0"/>
          <w:numId w:val="20"/>
        </w:numPr>
      </w:pPr>
      <w:r w:rsidRPr="00D52BF6">
        <w:rPr>
          <w:b/>
          <w:bCs/>
        </w:rPr>
        <w:t>Smart</w:t>
      </w:r>
      <w:r w:rsidR="009D33B7" w:rsidRPr="00D52BF6">
        <w:rPr>
          <w:b/>
          <w:bCs/>
        </w:rPr>
        <w:t xml:space="preserve"> </w:t>
      </w:r>
      <w:r w:rsidRPr="00D52BF6">
        <w:rPr>
          <w:b/>
          <w:bCs/>
        </w:rPr>
        <w:t xml:space="preserve">Surveys </w:t>
      </w:r>
      <w:r w:rsidR="00D52BF6">
        <w:rPr>
          <w:b/>
          <w:bCs/>
        </w:rPr>
        <w:t>and the thematic priority focussed will be shared on our website (opportunities to get involved) and on our</w:t>
      </w:r>
      <w:r w:rsidR="00CA63A6">
        <w:rPr>
          <w:b/>
          <w:bCs/>
        </w:rPr>
        <w:t xml:space="preserve"> social media channels</w:t>
      </w:r>
      <w:r w:rsidR="00D52BF6">
        <w:rPr>
          <w:b/>
          <w:bCs/>
        </w:rPr>
        <w:t>– this news will also be shared with relevant VCSE organisations (and the Surrey Health and Wellbeing communications group, and Frimley communications group).</w:t>
      </w:r>
    </w:p>
    <w:p w14:paraId="52C8F8CF" w14:textId="439629A7" w:rsidR="00F508FC" w:rsidRDefault="00D52BF6" w:rsidP="00C0645E">
      <w:pPr>
        <w:pStyle w:val="ListParagraph"/>
        <w:numPr>
          <w:ilvl w:val="0"/>
          <w:numId w:val="20"/>
        </w:numPr>
      </w:pPr>
      <w:r>
        <w:rPr>
          <w:b/>
          <w:bCs/>
        </w:rPr>
        <w:t xml:space="preserve">At the beginning of each quarter, a communications meeting will agree if there are </w:t>
      </w:r>
      <w:proofErr w:type="gramStart"/>
      <w:r>
        <w:rPr>
          <w:b/>
          <w:bCs/>
        </w:rPr>
        <w:t>particular awareness</w:t>
      </w:r>
      <w:proofErr w:type="gramEnd"/>
      <w:r>
        <w:rPr>
          <w:b/>
          <w:bCs/>
        </w:rPr>
        <w:t xml:space="preserve"> days we can use to highlight the upcoming surveys, with the aim being that one survey is focussed on each month.</w:t>
      </w:r>
    </w:p>
    <w:p w14:paraId="050DA327" w14:textId="77777777" w:rsidR="00ED6F66" w:rsidRDefault="00ED6F66" w:rsidP="009339AE"/>
    <w:p w14:paraId="255541C5" w14:textId="177DD427" w:rsidR="00F508FC" w:rsidRDefault="00ED6F66" w:rsidP="00BB441A">
      <w:pPr>
        <w:pStyle w:val="Heading3"/>
        <w:numPr>
          <w:ilvl w:val="0"/>
          <w:numId w:val="15"/>
        </w:numPr>
      </w:pPr>
      <w:r>
        <w:t xml:space="preserve">Enter &amp; View </w:t>
      </w:r>
    </w:p>
    <w:p w14:paraId="7AA34371" w14:textId="731A2187" w:rsidR="00B96EF8" w:rsidRDefault="00B96EF8" w:rsidP="00B96EF8">
      <w:r w:rsidRPr="00B96EF8">
        <w:t xml:space="preserve">Healthwatch have a legal power to visit health and social care providers where services are publicly funded and delivered to see them in action. This power to Enter &amp; View services </w:t>
      </w:r>
      <w:proofErr w:type="gramStart"/>
      <w:r w:rsidRPr="00B96EF8">
        <w:t>offers</w:t>
      </w:r>
      <w:proofErr w:type="gramEnd"/>
      <w:r w:rsidRPr="00B96EF8">
        <w:t xml:space="preserve"> a way for Healthwatch Surrey to meet some of their statutory functions and allows them to identify what is working well with services and where they could be improved. </w:t>
      </w:r>
    </w:p>
    <w:p w14:paraId="2A844066" w14:textId="77777777" w:rsidR="00B77E2E" w:rsidRDefault="00B77E2E" w:rsidP="00B96EF8"/>
    <w:p w14:paraId="63E07B83" w14:textId="574C7444" w:rsidR="00B77E2E" w:rsidRDefault="00B77E2E" w:rsidP="00B96EF8">
      <w:r>
        <w:t xml:space="preserve">We will </w:t>
      </w:r>
      <w:r w:rsidR="00A20840">
        <w:t>conduct Enter &amp; View visits on an ad hoc basis throughout th</w:t>
      </w:r>
      <w:r w:rsidR="003D4517">
        <w:t>e year in the following circumstances:</w:t>
      </w:r>
    </w:p>
    <w:p w14:paraId="66C13B01" w14:textId="3070F843" w:rsidR="003D4517" w:rsidRDefault="003D4517" w:rsidP="003D4517">
      <w:pPr>
        <w:pStyle w:val="ListParagraph"/>
        <w:numPr>
          <w:ilvl w:val="0"/>
          <w:numId w:val="19"/>
        </w:numPr>
      </w:pPr>
      <w:r>
        <w:t>At the request of a provider</w:t>
      </w:r>
    </w:p>
    <w:p w14:paraId="4BD7129F" w14:textId="4895C412" w:rsidR="003D4517" w:rsidRDefault="00B4513F" w:rsidP="003D4517">
      <w:pPr>
        <w:pStyle w:val="ListParagraph"/>
        <w:numPr>
          <w:ilvl w:val="0"/>
          <w:numId w:val="19"/>
        </w:numPr>
      </w:pPr>
      <w:r>
        <w:t xml:space="preserve">In response to concerns raised around one </w:t>
      </w:r>
      <w:r w:rsidR="00BE1B82">
        <w:t>setting</w:t>
      </w:r>
    </w:p>
    <w:p w14:paraId="5C513F3C" w14:textId="7968CC10" w:rsidR="00B4513F" w:rsidRDefault="00B4513F" w:rsidP="003D4517">
      <w:pPr>
        <w:pStyle w:val="ListParagraph"/>
        <w:numPr>
          <w:ilvl w:val="0"/>
          <w:numId w:val="19"/>
        </w:numPr>
      </w:pPr>
      <w:r>
        <w:t xml:space="preserve">As part of a research project </w:t>
      </w:r>
    </w:p>
    <w:p w14:paraId="433727A6" w14:textId="77777777" w:rsidR="001B613A" w:rsidRDefault="001B613A" w:rsidP="001B613A"/>
    <w:p w14:paraId="6981955B" w14:textId="348FD07D" w:rsidR="001B613A" w:rsidRPr="00B96EF8" w:rsidRDefault="001B613A" w:rsidP="001B613A">
      <w:r>
        <w:t xml:space="preserve">Note: </w:t>
      </w:r>
      <w:proofErr w:type="gramStart"/>
      <w:r>
        <w:t>an</w:t>
      </w:r>
      <w:proofErr w:type="gramEnd"/>
      <w:r>
        <w:t xml:space="preserve"> Enter &amp; View visit w</w:t>
      </w:r>
      <w:r w:rsidR="00623F5A">
        <w:t xml:space="preserve">ill count as 1 x community engagement event. </w:t>
      </w:r>
    </w:p>
    <w:p w14:paraId="2369F7DE" w14:textId="77777777" w:rsidR="00940392" w:rsidRDefault="00940392" w:rsidP="00215C62">
      <w:pPr>
        <w:pStyle w:val="ListBullet-pink"/>
        <w:numPr>
          <w:ilvl w:val="0"/>
          <w:numId w:val="0"/>
        </w:numPr>
        <w:ind w:left="360"/>
      </w:pPr>
    </w:p>
    <w:p w14:paraId="5AE43CFA" w14:textId="77777777" w:rsidR="006322F7" w:rsidRDefault="006322F7" w:rsidP="006322F7">
      <w:pPr>
        <w:pStyle w:val="Heading3"/>
      </w:pPr>
      <w:r>
        <w:lastRenderedPageBreak/>
        <w:t>Community Cash Fund</w:t>
      </w:r>
    </w:p>
    <w:p w14:paraId="3B930F5B" w14:textId="77777777" w:rsidR="00494E8A" w:rsidRDefault="006322F7" w:rsidP="006322F7">
      <w:r>
        <w:t xml:space="preserve">We have set aside £6000 </w:t>
      </w:r>
      <w:proofErr w:type="gramStart"/>
      <w:r>
        <w:t>in order to</w:t>
      </w:r>
      <w:proofErr w:type="gramEnd"/>
      <w:r>
        <w:t xml:space="preserve"> relaunch the Healthwatch Surrey Community Cash Fund 2025-26. The aim of this is to provide small grants to organisations to collaborate with Healthwatch Surrey on either research projects or community engagement. These grants will enable Healthwatch Surrey to further amplify the voice of Surrey residents who are often not well heard, are at risk of health inequalities or who represent the priority populations as outlined in the Health and Wellbeing Strategy. Healthwatch Surrey will report on the feedback given about health and care services along with relevant</w:t>
      </w:r>
      <w:r w:rsidRPr="00CD58C4">
        <w:t xml:space="preserve"> recommendations that can be shared with service providers and commissioners.</w:t>
      </w:r>
      <w:r>
        <w:t xml:space="preserve"> Organisations will be offered grant funding of up to </w:t>
      </w:r>
      <w:r>
        <w:rPr>
          <w:color w:val="FF0000"/>
        </w:rPr>
        <w:t xml:space="preserve">XXX </w:t>
      </w:r>
      <w:r>
        <w:t>to be used to support and benefit Surrey residents and will be offered the opportunity to co-produce reports and recommendations and be invited to present on these findings.</w:t>
      </w:r>
    </w:p>
    <w:p w14:paraId="6BC5DBF7" w14:textId="77777777" w:rsidR="00494E8A" w:rsidRDefault="00494E8A" w:rsidP="006322F7"/>
    <w:p w14:paraId="665358F0" w14:textId="77777777" w:rsidR="00F22893" w:rsidRDefault="00494E8A" w:rsidP="00F22893">
      <w:r>
        <w:t>Communications will promote the opening of the Community Cash Fund and invite people to apply</w:t>
      </w:r>
      <w:r w:rsidR="00553ACD">
        <w:t xml:space="preserve">, </w:t>
      </w:r>
      <w:r>
        <w:t>via social media and our website.</w:t>
      </w:r>
      <w:r w:rsidR="00553ACD">
        <w:t xml:space="preserve"> We will report on the impact that this fund has on individual organisations as well as </w:t>
      </w:r>
      <w:r w:rsidR="005438E6">
        <w:t>for individuals and services through our monthly Insight Bulletin and quarterly Impact Report.</w:t>
      </w:r>
    </w:p>
    <w:p w14:paraId="43ECCF8F" w14:textId="77777777" w:rsidR="00F22893" w:rsidRDefault="00F22893" w:rsidP="00F22893"/>
    <w:p w14:paraId="09D3E015" w14:textId="2687D46B" w:rsidR="00D83B7C" w:rsidRDefault="00D83B7C" w:rsidP="00F22893">
      <w:pPr>
        <w:pStyle w:val="Heading2"/>
      </w:pPr>
      <w:r>
        <w:t>Independent Health Complaints Advocacy Service</w:t>
      </w:r>
    </w:p>
    <w:p w14:paraId="3E389734" w14:textId="7311253E" w:rsidR="000B0469" w:rsidRDefault="006922B3" w:rsidP="001F4597">
      <w:r>
        <w:t xml:space="preserve">We will focus on increasing </w:t>
      </w:r>
      <w:r w:rsidR="000B0469">
        <w:t xml:space="preserve">referrals to the service </w:t>
      </w:r>
      <w:proofErr w:type="gramStart"/>
      <w:r w:rsidR="000B0469">
        <w:t>in order to</w:t>
      </w:r>
      <w:proofErr w:type="gramEnd"/>
      <w:r w:rsidR="000B0469">
        <w:t xml:space="preserve"> empower more people t</w:t>
      </w:r>
      <w:r w:rsidR="001F4597">
        <w:t xml:space="preserve">o </w:t>
      </w:r>
      <w:r w:rsidR="000B0469">
        <w:t>share their experiences of NHS services.</w:t>
      </w:r>
    </w:p>
    <w:p w14:paraId="3A9149EB" w14:textId="77777777" w:rsidR="009672DB" w:rsidRDefault="009672DB" w:rsidP="00D83B7C">
      <w:pPr>
        <w:pStyle w:val="ListBullet"/>
        <w:numPr>
          <w:ilvl w:val="0"/>
          <w:numId w:val="0"/>
        </w:numPr>
        <w:ind w:left="360" w:hanging="360"/>
      </w:pPr>
    </w:p>
    <w:p w14:paraId="20483283" w14:textId="07A73207" w:rsidR="00D83B7C" w:rsidRDefault="00D83B7C" w:rsidP="00D83B7C">
      <w:pPr>
        <w:pStyle w:val="ListBullet"/>
        <w:numPr>
          <w:ilvl w:val="0"/>
          <w:numId w:val="0"/>
        </w:numPr>
        <w:ind w:left="360" w:hanging="360"/>
      </w:pPr>
      <w:r>
        <w:t>To support awareness raising of this service</w:t>
      </w:r>
      <w:r w:rsidR="009672DB">
        <w:t xml:space="preserve"> we will:</w:t>
      </w:r>
    </w:p>
    <w:p w14:paraId="0CC69DDD" w14:textId="5EF66ACB" w:rsidR="00D83B7C" w:rsidRDefault="009672DB" w:rsidP="00D83B7C">
      <w:pPr>
        <w:pStyle w:val="ListBullet"/>
      </w:pPr>
      <w:r>
        <w:t xml:space="preserve">Regularly promote via Healthwatch Surrey </w:t>
      </w:r>
      <w:r w:rsidR="00D83B7C">
        <w:t>social media</w:t>
      </w:r>
    </w:p>
    <w:p w14:paraId="3AA2EBB2" w14:textId="79FF5E33" w:rsidR="00D83B7C" w:rsidRDefault="009672DB" w:rsidP="00D83B7C">
      <w:pPr>
        <w:pStyle w:val="ListBullet"/>
      </w:pPr>
      <w:r>
        <w:t>C</w:t>
      </w:r>
      <w:r w:rsidR="00D83B7C">
        <w:t>ontinue to ensure that system partners and VCSE organisations are aware of the IHCA service and that information about this service is provided on their websites where possible.</w:t>
      </w:r>
    </w:p>
    <w:p w14:paraId="1738DF49" w14:textId="77777777" w:rsidR="00D83B7C" w:rsidRDefault="00D83B7C" w:rsidP="00D83B7C">
      <w:pPr>
        <w:pStyle w:val="ListBullet"/>
      </w:pPr>
      <w:r>
        <w:t>Share Surrey Independent Living Charity’s posts relating to this service.</w:t>
      </w:r>
    </w:p>
    <w:p w14:paraId="32EF1646" w14:textId="7C806DFA" w:rsidR="001F4597" w:rsidRPr="00C433F0" w:rsidRDefault="001F4597" w:rsidP="00D83B7C">
      <w:pPr>
        <w:pStyle w:val="ListBullet"/>
      </w:pPr>
      <w:r>
        <w:t>Report on the impact the service has on individuals through case studies in the quarterly impact report.</w:t>
      </w:r>
    </w:p>
    <w:p w14:paraId="42456737" w14:textId="77777777" w:rsidR="001D7646" w:rsidRDefault="00ED6F66" w:rsidP="001D7646">
      <w:r>
        <w:br w:type="page"/>
      </w:r>
      <w:r w:rsidR="001D7646">
        <w:rPr>
          <w:noProof/>
        </w:rPr>
        <w:lastRenderedPageBreak/>
        <w:drawing>
          <wp:inline distT="0" distB="0" distL="0" distR="0" wp14:anchorId="1AAEC7E5" wp14:editId="3E37671F">
            <wp:extent cx="883920" cy="883920"/>
            <wp:effectExtent l="0" t="0" r="0" b="0"/>
            <wp:docPr id="1001377751" name="Picture 3" descr="Within a deep blue circle, is a star with the words Impact Awards 2023. Underneath the star are the words Healthwatch and Comm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7751" name="Picture 3" descr="Within a deep blue circle, is a star with the words Impact Awards 2023. Underneath the star are the words Healthwatch and Commended."/>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883920" cy="883920"/>
                    </a:xfrm>
                    <a:prstGeom prst="rect">
                      <a:avLst/>
                    </a:prstGeom>
                    <a:noFill/>
                    <a:ln>
                      <a:noFill/>
                    </a:ln>
                  </pic:spPr>
                </pic:pic>
              </a:graphicData>
            </a:graphic>
          </wp:inline>
        </w:drawing>
      </w:r>
    </w:p>
    <w:p w14:paraId="7B9590C1" w14:textId="77777777" w:rsidR="001D7646" w:rsidRDefault="001D7646" w:rsidP="001D7646">
      <w:r w:rsidRPr="00142FD7">
        <w:rPr>
          <w:color w:val="004F6B"/>
        </w:rPr>
        <w:t>We are proud to be commended in the National Healthwatch Impact Awards</w:t>
      </w:r>
      <w:r>
        <w:rPr>
          <w:color w:val="004F6B"/>
        </w:rPr>
        <w:t xml:space="preserve">, recognising our work helping to improve local NHS and social care. You can view </w:t>
      </w:r>
      <w:hyperlink r:id="rId20" w:history="1">
        <w:r>
          <w:rPr>
            <w:rStyle w:val="Hyperlink"/>
          </w:rPr>
          <w:t>our video</w:t>
        </w:r>
      </w:hyperlink>
      <w:r>
        <w:rPr>
          <w:color w:val="004F6B"/>
        </w:rPr>
        <w:t xml:space="preserve"> highlighting how feedback from local people has been used to make positive changes to health and social care support.  </w:t>
      </w:r>
    </w:p>
    <w:p w14:paraId="33DF2BE8" w14:textId="77777777" w:rsidR="001D7646" w:rsidRDefault="001D7646" w:rsidP="001D7646">
      <w:r>
        <w:rPr>
          <w:color w:val="004F6B"/>
        </w:rPr>
        <w:t> </w:t>
      </w:r>
    </w:p>
    <w:p w14:paraId="13A43D6C" w14:textId="77777777" w:rsidR="001D7646" w:rsidRDefault="001D7646" w:rsidP="001D7646">
      <w:pPr>
        <w:spacing w:line="360" w:lineRule="auto"/>
      </w:pPr>
      <w:r>
        <w:rPr>
          <w:noProof/>
          <w:color w:val="004F6B"/>
        </w:rPr>
        <w:drawing>
          <wp:inline distT="0" distB="0" distL="0" distR="0" wp14:anchorId="6E7BDC50" wp14:editId="20BFD0EA">
            <wp:extent cx="1920240" cy="647700"/>
            <wp:effectExtent l="0" t="0" r="3810" b="0"/>
            <wp:docPr id="137240656" name="Picture 2" descr="The Committed to quality marque - an icon of a rosette, inside the rosette is a tick. Beside the rosette are the words - Committed to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ommitted to quality marque - an icon of a rosette, inside the rosette is a tick. Beside the rosette are the words - Committed to quality.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20240" cy="647700"/>
                    </a:xfrm>
                    <a:prstGeom prst="rect">
                      <a:avLst/>
                    </a:prstGeom>
                    <a:noFill/>
                    <a:ln>
                      <a:noFill/>
                    </a:ln>
                  </pic:spPr>
                </pic:pic>
              </a:graphicData>
            </a:graphic>
          </wp:inline>
        </w:drawing>
      </w:r>
    </w:p>
    <w:p w14:paraId="1ED51F6B" w14:textId="77777777" w:rsidR="001D7646" w:rsidRDefault="001D7646" w:rsidP="001D7646">
      <w:r>
        <w:rPr>
          <w:color w:val="004F6B"/>
        </w:rPr>
        <w:t xml:space="preserve">We are committed to the quality of our information. </w:t>
      </w:r>
    </w:p>
    <w:p w14:paraId="712314C6" w14:textId="77777777" w:rsidR="001D7646" w:rsidRDefault="001D7646" w:rsidP="001D7646">
      <w:r>
        <w:rPr>
          <w:color w:val="004F6B"/>
        </w:rPr>
        <w:t>Every three years we perform an audit so that we can be certain of this.</w:t>
      </w:r>
    </w:p>
    <w:p w14:paraId="69E0E604" w14:textId="77777777" w:rsidR="001D7646" w:rsidRDefault="001D7646" w:rsidP="001D7646">
      <w:r>
        <w:rPr>
          <w:color w:val="004F6B"/>
        </w:rPr>
        <w:t> </w:t>
      </w:r>
    </w:p>
    <w:p w14:paraId="73E50B7B" w14:textId="77777777" w:rsidR="001D7646" w:rsidRDefault="001D7646" w:rsidP="001D7646">
      <w:r>
        <w:rPr>
          <w:noProof/>
          <w:color w:val="004F6B"/>
        </w:rPr>
        <w:drawing>
          <wp:inline distT="0" distB="0" distL="0" distR="0" wp14:anchorId="79BE718D" wp14:editId="1A17388B">
            <wp:extent cx="1478280" cy="342900"/>
            <wp:effectExtent l="0" t="0" r="7620" b="0"/>
            <wp:docPr id="1170123146"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8280" cy="342900"/>
                    </a:xfrm>
                    <a:prstGeom prst="rect">
                      <a:avLst/>
                    </a:prstGeom>
                    <a:noFill/>
                    <a:ln>
                      <a:noFill/>
                    </a:ln>
                  </pic:spPr>
                </pic:pic>
              </a:graphicData>
            </a:graphic>
          </wp:inline>
        </w:drawing>
      </w:r>
    </w:p>
    <w:p w14:paraId="34F65A55" w14:textId="77777777" w:rsidR="001D7646" w:rsidRDefault="001D7646" w:rsidP="001D7646">
      <w:r>
        <w:rPr>
          <w:color w:val="004F6B"/>
        </w:rPr>
        <w:t>The Healthwatch Surrey service is run by Luminus Insight CIC, known as Luminus.</w:t>
      </w:r>
    </w:p>
    <w:p w14:paraId="69F4310A" w14:textId="77777777" w:rsidR="001D7646" w:rsidRDefault="001D7646" w:rsidP="001D7646">
      <w:r>
        <w:rPr>
          <w:color w:val="004F6B"/>
        </w:rPr>
        <w:t>Registered office: GF21, Astolat, Coniers Way, Burpham, Surrey, GU4 7HL.</w:t>
      </w:r>
    </w:p>
    <w:p w14:paraId="52900AD9" w14:textId="580A3562" w:rsidR="00ED6F66" w:rsidRDefault="00ED6F66">
      <w:pPr>
        <w:spacing w:after="160" w:line="259" w:lineRule="auto"/>
        <w:rPr>
          <w:rFonts w:eastAsiaTheme="majorEastAsia" w:cstheme="majorBidi"/>
          <w:b/>
          <w:color w:val="004F6B" w:themeColor="text2"/>
          <w:sz w:val="32"/>
          <w:szCs w:val="26"/>
        </w:rPr>
      </w:pPr>
    </w:p>
    <w:sectPr w:rsidR="00ED6F66" w:rsidSect="00E65DE2">
      <w:headerReference w:type="default" r:id="rId23"/>
      <w:footerReference w:type="default" r:id="rId24"/>
      <w:pgSz w:w="11906" w:h="16838"/>
      <w:pgMar w:top="720" w:right="720" w:bottom="720" w:left="72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2429" w14:textId="77777777" w:rsidR="00513AAF" w:rsidRDefault="00513AAF" w:rsidP="00810BB9">
      <w:r>
        <w:separator/>
      </w:r>
    </w:p>
  </w:endnote>
  <w:endnote w:type="continuationSeparator" w:id="0">
    <w:p w14:paraId="25288A19" w14:textId="77777777" w:rsidR="00513AAF" w:rsidRDefault="00513AAF" w:rsidP="00810BB9">
      <w:r>
        <w:continuationSeparator/>
      </w:r>
    </w:p>
  </w:endnote>
  <w:endnote w:type="continuationNotice" w:id="1">
    <w:p w14:paraId="72BDD81C" w14:textId="77777777" w:rsidR="00513AAF" w:rsidRDefault="00513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57F9" w14:textId="77777777" w:rsidR="006E06AA" w:rsidRDefault="003F2411">
    <w:pPr>
      <w:pStyle w:val="Footer"/>
      <w:jc w:val="right"/>
    </w:pPr>
    <w:r w:rsidRPr="006434C8">
      <w:rPr>
        <w:noProof/>
        <w:sz w:val="20"/>
      </w:rPr>
      <mc:AlternateContent>
        <mc:Choice Requires="wps">
          <w:drawing>
            <wp:anchor distT="45720" distB="45720" distL="114300" distR="114300" simplePos="0" relativeHeight="251658242" behindDoc="0" locked="0" layoutInCell="1" allowOverlap="1" wp14:anchorId="6466DEFE" wp14:editId="7B013F45">
              <wp:simplePos x="0" y="0"/>
              <wp:positionH relativeFrom="column">
                <wp:posOffset>-419100</wp:posOffset>
              </wp:positionH>
              <wp:positionV relativeFrom="paragraph">
                <wp:posOffset>284480</wp:posOffset>
              </wp:positionV>
              <wp:extent cx="35966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04620"/>
                      </a:xfrm>
                      <a:prstGeom prst="rect">
                        <a:avLst/>
                      </a:prstGeom>
                      <a:noFill/>
                      <a:ln w="9525">
                        <a:noFill/>
                        <a:miter lim="800000"/>
                        <a:headEnd/>
                        <a:tailEnd/>
                      </a:ln>
                    </wps:spPr>
                    <wps:txbx>
                      <w:txbxContent>
                        <w:p w14:paraId="69065A90" w14:textId="2E3E4D48" w:rsidR="00C46DF9" w:rsidRDefault="003F2411" w:rsidP="00C46DF9">
                          <w:pPr>
                            <w:rPr>
                              <w:color w:val="FFFFFF" w:themeColor="background1"/>
                            </w:rPr>
                          </w:pPr>
                          <w:r>
                            <w:rPr>
                              <w:color w:val="FFFFFF" w:themeColor="background1"/>
                            </w:rPr>
                            <w:t>Healthwatch Surrey Strategy</w:t>
                          </w:r>
                        </w:p>
                        <w:p w14:paraId="33FE487C" w14:textId="15167426" w:rsidR="00C46DF9" w:rsidRPr="006434C8" w:rsidRDefault="003F2411" w:rsidP="00C46DF9">
                          <w:pPr>
                            <w:rPr>
                              <w:color w:val="FFFFFF" w:themeColor="background1"/>
                            </w:rPr>
                          </w:pPr>
                          <w:r>
                            <w:rPr>
                              <w:color w:val="FFFFFF" w:themeColor="background1"/>
                            </w:rPr>
                            <w:t>2025-2026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66DEFE" id="_x0000_t202" coordsize="21600,21600" o:spt="202" path="m,l,21600r21600,l21600,xe">
              <v:stroke joinstyle="miter"/>
              <v:path gradientshapeok="t" o:connecttype="rect"/>
            </v:shapetype>
            <v:shape id="_x0000_s1051" type="#_x0000_t202" style="position:absolute;left:0;text-align:left;margin-left:-33pt;margin-top:22.4pt;width:283.2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" filled="f" stroked="f">
              <v:textbox style="mso-fit-shape-to-text:t">
                <w:txbxContent>
                  <w:p w14:paraId="69065A90" w14:textId="2E3E4D48" w:rsidR="00C46DF9" w:rsidRDefault="003F2411" w:rsidP="00C46DF9">
                    <w:pPr>
                      <w:rPr>
                        <w:color w:val="FFFFFF" w:themeColor="background1"/>
                      </w:rPr>
                    </w:pPr>
                    <w:r>
                      <w:rPr>
                        <w:color w:val="FFFFFF" w:themeColor="background1"/>
                      </w:rPr>
                      <w:t>Healthwatch Surrey Strategy</w:t>
                    </w:r>
                  </w:p>
                  <w:p w14:paraId="33FE487C" w14:textId="15167426" w:rsidR="00C46DF9" w:rsidRPr="006434C8" w:rsidRDefault="003F2411" w:rsidP="00C46DF9">
                    <w:pPr>
                      <w:rPr>
                        <w:color w:val="FFFFFF" w:themeColor="background1"/>
                      </w:rPr>
                    </w:pPr>
                    <w:r>
                      <w:rPr>
                        <w:color w:val="FFFFFF" w:themeColor="background1"/>
                      </w:rPr>
                      <w:t>2025-2026</w:t>
                    </w:r>
                  </w:p>
                </w:txbxContent>
              </v:textbox>
              <w10:wrap type="square"/>
            </v:shape>
          </w:pict>
        </mc:Fallback>
      </mc:AlternateContent>
    </w:r>
    <w:r w:rsidR="00C46DF9">
      <w:rPr>
        <w:noProof/>
      </w:rPr>
      <w:drawing>
        <wp:anchor distT="0" distB="0" distL="114300" distR="114300" simplePos="0" relativeHeight="251658241" behindDoc="0" locked="0" layoutInCell="1" allowOverlap="1" wp14:anchorId="782F4994" wp14:editId="4926A388">
          <wp:simplePos x="0" y="0"/>
          <wp:positionH relativeFrom="page">
            <wp:posOffset>-274320</wp:posOffset>
          </wp:positionH>
          <wp:positionV relativeFrom="paragraph">
            <wp:posOffset>247015</wp:posOffset>
          </wp:positionV>
          <wp:extent cx="7941285" cy="645789"/>
          <wp:effectExtent l="0" t="0" r="0" b="2540"/>
          <wp:wrapNone/>
          <wp:docPr id="12" name="Picture 12"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45490072"/>
        <w:docPartObj>
          <w:docPartGallery w:val="Page Numbers (Bottom of Page)"/>
          <w:docPartUnique/>
        </w:docPartObj>
      </w:sdtPr>
      <w:sdtEndPr>
        <w:rPr>
          <w:noProof/>
        </w:rPr>
      </w:sdtEndPr>
      <w:sdtContent/>
    </w:sdt>
  </w:p>
  <w:p w14:paraId="0C8AC048" w14:textId="77777777" w:rsidR="00810BB9" w:rsidRDefault="00C46DF9">
    <w:pPr>
      <w:pStyle w:val="Footer"/>
    </w:pPr>
    <w:r>
      <w:rPr>
        <w:noProof/>
      </w:rPr>
      <mc:AlternateContent>
        <mc:Choice Requires="wps">
          <w:drawing>
            <wp:anchor distT="45720" distB="45720" distL="114300" distR="114300" simplePos="0" relativeHeight="251658243" behindDoc="0" locked="0" layoutInCell="1" allowOverlap="1" wp14:anchorId="6A5C807B" wp14:editId="79B9D3FC">
              <wp:simplePos x="0" y="0"/>
              <wp:positionH relativeFrom="page">
                <wp:posOffset>6012180</wp:posOffset>
              </wp:positionH>
              <wp:positionV relativeFrom="paragraph">
                <wp:posOffset>82550</wp:posOffset>
              </wp:positionV>
              <wp:extent cx="128778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EndPr/>
                          <w:sdtContent>
                            <w:p w14:paraId="6287A51C"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5C807B" id="_x0000_s1052" type="#_x0000_t202" style="position:absolute;margin-left:473.4pt;margin-top:6.5pt;width:101.4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" filled="f" stroked="f">
              <v:textbox style="mso-fit-shape-to-text:t">
                <w:txbxContent>
                  <w:sdt>
                    <w:sdtPr>
                      <w:rPr>
                        <w:color w:val="FFFFFF" w:themeColor="background1"/>
                      </w:rPr>
                      <w:id w:val="832570744"/>
                      <w:docPartObj>
                        <w:docPartGallery w:val="Page Numbers (Top of Page)"/>
                        <w:docPartUnique/>
                      </w:docPartObj>
                    </w:sdtPr>
                    <w:sdtContent>
                      <w:p w14:paraId="6287A51C"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CE36" w14:textId="77777777" w:rsidR="00513AAF" w:rsidRDefault="00513AAF" w:rsidP="00810BB9">
      <w:r>
        <w:separator/>
      </w:r>
    </w:p>
  </w:footnote>
  <w:footnote w:type="continuationSeparator" w:id="0">
    <w:p w14:paraId="2747E38E" w14:textId="77777777" w:rsidR="00513AAF" w:rsidRDefault="00513AAF" w:rsidP="00810BB9">
      <w:r>
        <w:continuationSeparator/>
      </w:r>
    </w:p>
  </w:footnote>
  <w:footnote w:type="continuationNotice" w:id="1">
    <w:p w14:paraId="4C2419C8" w14:textId="77777777" w:rsidR="00513AAF" w:rsidRDefault="00513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BA86" w14:textId="77777777" w:rsidR="0009774D" w:rsidRDefault="00D82729" w:rsidP="0009774D">
    <w:pPr>
      <w:pStyle w:val="Header"/>
      <w:jc w:val="right"/>
    </w:pPr>
    <w:r>
      <w:rPr>
        <w:noProof/>
      </w:rPr>
      <mc:AlternateContent>
        <mc:Choice Requires="wps">
          <w:drawing>
            <wp:anchor distT="0" distB="0" distL="114300" distR="114300" simplePos="0" relativeHeight="251658240" behindDoc="0" locked="0" layoutInCell="1" allowOverlap="1" wp14:anchorId="4FB17880" wp14:editId="66689818">
              <wp:simplePos x="0" y="0"/>
              <wp:positionH relativeFrom="margin">
                <wp:align>center</wp:align>
              </wp:positionH>
              <wp:positionV relativeFrom="margin">
                <wp:posOffset>-76200</wp:posOffset>
              </wp:positionV>
              <wp:extent cx="5965190" cy="0"/>
              <wp:effectExtent l="0" t="0" r="0" b="0"/>
              <wp:wrapNone/>
              <wp:docPr id="2" name="Straight Connector 2" descr="Green line used as a separator under the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190" cy="0"/>
                      </a:xfrm>
                      <a:prstGeom prst="line">
                        <a:avLst/>
                      </a:prstGeom>
                      <a:noFill/>
                      <a:ln w="12700">
                        <a:solidFill>
                          <a:srgbClr val="84BD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v:line id="Straight Connector 2" style="position:absolute;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alt="Green line used as a separator under the logo." o:spid="_x0000_s1026" strokecolor="#84bd00" strokeweight="1pt" from="0,-6pt" to="469.7pt,-6pt" w14:anchorId="78C79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">
              <w10:wrap anchorx="margin" anchory="margin"/>
            </v:line>
          </w:pict>
        </mc:Fallback>
      </mc:AlternateContent>
    </w:r>
    <w:r w:rsidR="0009774D">
      <w:rPr>
        <w:noProof/>
      </w:rPr>
      <w:drawing>
        <wp:inline distT="0" distB="0" distL="0" distR="0" wp14:anchorId="559FC981" wp14:editId="6E022C35">
          <wp:extent cx="1958340" cy="472306"/>
          <wp:effectExtent l="0" t="0" r="3810" b="4445"/>
          <wp:docPr id="10" name="Picture 1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4723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206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150DF"/>
    <w:multiLevelType w:val="hybridMultilevel"/>
    <w:tmpl w:val="5E764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81448A"/>
    <w:multiLevelType w:val="hybridMultilevel"/>
    <w:tmpl w:val="3CC0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954B4"/>
    <w:multiLevelType w:val="hybridMultilevel"/>
    <w:tmpl w:val="9602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C35EB"/>
    <w:multiLevelType w:val="hybridMultilevel"/>
    <w:tmpl w:val="FD125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20926"/>
    <w:multiLevelType w:val="hybridMultilevel"/>
    <w:tmpl w:val="5FE0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53915"/>
    <w:multiLevelType w:val="hybridMultilevel"/>
    <w:tmpl w:val="44CCD11C"/>
    <w:lvl w:ilvl="0" w:tplc="F2F687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861EF"/>
    <w:multiLevelType w:val="hybridMultilevel"/>
    <w:tmpl w:val="9DB483B8"/>
    <w:lvl w:ilvl="0" w:tplc="C44AC830">
      <w:start w:val="1"/>
      <w:numFmt w:val="bullet"/>
      <w:lvlText w:val=""/>
      <w:lvlJc w:val="left"/>
      <w:pPr>
        <w:ind w:left="720" w:hanging="360"/>
      </w:pPr>
      <w:rPr>
        <w:rFonts w:ascii="Symbol" w:hAnsi="Symbol" w:hint="default"/>
        <w:color w:val="C318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57F12"/>
    <w:multiLevelType w:val="hybridMultilevel"/>
    <w:tmpl w:val="6A4C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C00B1"/>
    <w:multiLevelType w:val="multilevel"/>
    <w:tmpl w:val="447E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20765"/>
    <w:multiLevelType w:val="hybridMultilevel"/>
    <w:tmpl w:val="220E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A36B6"/>
    <w:multiLevelType w:val="hybridMultilevel"/>
    <w:tmpl w:val="5B1E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4D7541D5"/>
    <w:multiLevelType w:val="hybridMultilevel"/>
    <w:tmpl w:val="ACE2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40F5F"/>
    <w:multiLevelType w:val="hybridMultilevel"/>
    <w:tmpl w:val="B394C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A73E95"/>
    <w:multiLevelType w:val="hybridMultilevel"/>
    <w:tmpl w:val="B59A4818"/>
    <w:lvl w:ilvl="0" w:tplc="0EB6984A">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D4A7F"/>
    <w:multiLevelType w:val="hybridMultilevel"/>
    <w:tmpl w:val="7062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0064F6"/>
    <w:multiLevelType w:val="hybridMultilevel"/>
    <w:tmpl w:val="F126D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4177962"/>
    <w:multiLevelType w:val="hybridMultilevel"/>
    <w:tmpl w:val="BAE80B76"/>
    <w:lvl w:ilvl="0" w:tplc="08090001">
      <w:start w:val="1"/>
      <w:numFmt w:val="bullet"/>
      <w:lvlText w:val=""/>
      <w:lvlJc w:val="left"/>
      <w:pPr>
        <w:ind w:left="360" w:hanging="360"/>
      </w:pPr>
      <w:rPr>
        <w:rFonts w:ascii="Symbol" w:hAnsi="Symbol" w:hint="default"/>
      </w:rPr>
    </w:lvl>
    <w:lvl w:ilvl="1" w:tplc="FC84D85C">
      <w:numFmt w:val="bullet"/>
      <w:lvlText w:val="•"/>
      <w:lvlJc w:val="left"/>
      <w:pPr>
        <w:ind w:left="1080" w:hanging="360"/>
      </w:pPr>
      <w:rPr>
        <w:rFonts w:ascii="Poppins" w:eastAsia="Poppins"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1293284">
    <w:abstractNumId w:val="14"/>
  </w:num>
  <w:num w:numId="2" w16cid:durableId="697319535">
    <w:abstractNumId w:val="6"/>
  </w:num>
  <w:num w:numId="3" w16cid:durableId="1783838624">
    <w:abstractNumId w:val="0"/>
  </w:num>
  <w:num w:numId="4" w16cid:durableId="2102337394">
    <w:abstractNumId w:val="7"/>
  </w:num>
  <w:num w:numId="5" w16cid:durableId="1365671041">
    <w:abstractNumId w:val="8"/>
  </w:num>
  <w:num w:numId="6" w16cid:durableId="1067921037">
    <w:abstractNumId w:val="20"/>
  </w:num>
  <w:num w:numId="7" w16cid:durableId="306862147">
    <w:abstractNumId w:val="18"/>
  </w:num>
  <w:num w:numId="8" w16cid:durableId="1108085124">
    <w:abstractNumId w:val="9"/>
  </w:num>
  <w:num w:numId="9" w16cid:durableId="622616955">
    <w:abstractNumId w:val="11"/>
  </w:num>
  <w:num w:numId="10" w16cid:durableId="578487717">
    <w:abstractNumId w:val="15"/>
  </w:num>
  <w:num w:numId="11" w16cid:durableId="1669408239">
    <w:abstractNumId w:val="1"/>
  </w:num>
  <w:num w:numId="12" w16cid:durableId="2042516247">
    <w:abstractNumId w:val="19"/>
  </w:num>
  <w:num w:numId="13" w16cid:durableId="1709791958">
    <w:abstractNumId w:val="3"/>
  </w:num>
  <w:num w:numId="14" w16cid:durableId="641270376">
    <w:abstractNumId w:val="4"/>
  </w:num>
  <w:num w:numId="15" w16cid:durableId="510335853">
    <w:abstractNumId w:val="16"/>
  </w:num>
  <w:num w:numId="16" w16cid:durableId="406079222">
    <w:abstractNumId w:val="17"/>
  </w:num>
  <w:num w:numId="17" w16cid:durableId="1068067695">
    <w:abstractNumId w:val="10"/>
  </w:num>
  <w:num w:numId="18" w16cid:durableId="1068531185">
    <w:abstractNumId w:val="12"/>
  </w:num>
  <w:num w:numId="19" w16cid:durableId="282537893">
    <w:abstractNumId w:val="2"/>
  </w:num>
  <w:num w:numId="20" w16cid:durableId="1623919530">
    <w:abstractNumId w:val="5"/>
  </w:num>
  <w:num w:numId="21" w16cid:durableId="368188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20"/>
    <w:rsid w:val="00000650"/>
    <w:rsid w:val="00002479"/>
    <w:rsid w:val="00002546"/>
    <w:rsid w:val="00005FBA"/>
    <w:rsid w:val="00006F09"/>
    <w:rsid w:val="000138D1"/>
    <w:rsid w:val="000200EA"/>
    <w:rsid w:val="000203F8"/>
    <w:rsid w:val="0002082F"/>
    <w:rsid w:val="00021105"/>
    <w:rsid w:val="000241EE"/>
    <w:rsid w:val="0002444D"/>
    <w:rsid w:val="000253E5"/>
    <w:rsid w:val="00030BAF"/>
    <w:rsid w:val="000372EE"/>
    <w:rsid w:val="00040CD1"/>
    <w:rsid w:val="0004156B"/>
    <w:rsid w:val="00046D01"/>
    <w:rsid w:val="00052DB1"/>
    <w:rsid w:val="00053592"/>
    <w:rsid w:val="00054C4F"/>
    <w:rsid w:val="0005738D"/>
    <w:rsid w:val="000615A1"/>
    <w:rsid w:val="00063E42"/>
    <w:rsid w:val="00065649"/>
    <w:rsid w:val="00065777"/>
    <w:rsid w:val="000659AF"/>
    <w:rsid w:val="00065B98"/>
    <w:rsid w:val="000663FF"/>
    <w:rsid w:val="00070361"/>
    <w:rsid w:val="0007392C"/>
    <w:rsid w:val="000744C2"/>
    <w:rsid w:val="0007652A"/>
    <w:rsid w:val="000778BF"/>
    <w:rsid w:val="00080ECA"/>
    <w:rsid w:val="0008416D"/>
    <w:rsid w:val="00085AAC"/>
    <w:rsid w:val="00087669"/>
    <w:rsid w:val="0009131D"/>
    <w:rsid w:val="00093D36"/>
    <w:rsid w:val="00093FD2"/>
    <w:rsid w:val="000949E5"/>
    <w:rsid w:val="00095222"/>
    <w:rsid w:val="00095514"/>
    <w:rsid w:val="00096A6A"/>
    <w:rsid w:val="00096EC8"/>
    <w:rsid w:val="0009774D"/>
    <w:rsid w:val="00097779"/>
    <w:rsid w:val="000A099F"/>
    <w:rsid w:val="000A1739"/>
    <w:rsid w:val="000A1B4A"/>
    <w:rsid w:val="000A2FE3"/>
    <w:rsid w:val="000A40D1"/>
    <w:rsid w:val="000A533C"/>
    <w:rsid w:val="000A617E"/>
    <w:rsid w:val="000A6BE5"/>
    <w:rsid w:val="000A7528"/>
    <w:rsid w:val="000B0469"/>
    <w:rsid w:val="000B1754"/>
    <w:rsid w:val="000B386E"/>
    <w:rsid w:val="000B422A"/>
    <w:rsid w:val="000B5B17"/>
    <w:rsid w:val="000B767D"/>
    <w:rsid w:val="000C014C"/>
    <w:rsid w:val="000C3873"/>
    <w:rsid w:val="000C3DF5"/>
    <w:rsid w:val="000C529A"/>
    <w:rsid w:val="000C6E5A"/>
    <w:rsid w:val="000C6F92"/>
    <w:rsid w:val="000C73BB"/>
    <w:rsid w:val="000C7C5C"/>
    <w:rsid w:val="000D3CC7"/>
    <w:rsid w:val="000D7478"/>
    <w:rsid w:val="000E00FD"/>
    <w:rsid w:val="000E08EB"/>
    <w:rsid w:val="000E29ED"/>
    <w:rsid w:val="000E31A3"/>
    <w:rsid w:val="000E51F0"/>
    <w:rsid w:val="000E7773"/>
    <w:rsid w:val="000F161B"/>
    <w:rsid w:val="000F2A99"/>
    <w:rsid w:val="000F2D73"/>
    <w:rsid w:val="000F3F40"/>
    <w:rsid w:val="00100172"/>
    <w:rsid w:val="00100AC4"/>
    <w:rsid w:val="001010C5"/>
    <w:rsid w:val="00102C4E"/>
    <w:rsid w:val="00104701"/>
    <w:rsid w:val="001056A6"/>
    <w:rsid w:val="0010697F"/>
    <w:rsid w:val="001075B8"/>
    <w:rsid w:val="00110614"/>
    <w:rsid w:val="0011107E"/>
    <w:rsid w:val="001121E7"/>
    <w:rsid w:val="00112A47"/>
    <w:rsid w:val="00114D6A"/>
    <w:rsid w:val="00121854"/>
    <w:rsid w:val="00122AB0"/>
    <w:rsid w:val="00130EC6"/>
    <w:rsid w:val="001315F0"/>
    <w:rsid w:val="00136060"/>
    <w:rsid w:val="001363EA"/>
    <w:rsid w:val="00136C33"/>
    <w:rsid w:val="00136D7B"/>
    <w:rsid w:val="001401F8"/>
    <w:rsid w:val="00141AC2"/>
    <w:rsid w:val="00142FD7"/>
    <w:rsid w:val="001469E8"/>
    <w:rsid w:val="00151952"/>
    <w:rsid w:val="00152EC3"/>
    <w:rsid w:val="00153CE9"/>
    <w:rsid w:val="00154681"/>
    <w:rsid w:val="0015495C"/>
    <w:rsid w:val="001564EA"/>
    <w:rsid w:val="0015677D"/>
    <w:rsid w:val="00156A3B"/>
    <w:rsid w:val="00157118"/>
    <w:rsid w:val="00162419"/>
    <w:rsid w:val="0016307F"/>
    <w:rsid w:val="00163FC7"/>
    <w:rsid w:val="001701A2"/>
    <w:rsid w:val="00170A6E"/>
    <w:rsid w:val="00170D51"/>
    <w:rsid w:val="00170E24"/>
    <w:rsid w:val="001721A8"/>
    <w:rsid w:val="0017310E"/>
    <w:rsid w:val="00173A3A"/>
    <w:rsid w:val="00176B1A"/>
    <w:rsid w:val="001772C2"/>
    <w:rsid w:val="001804E9"/>
    <w:rsid w:val="00181044"/>
    <w:rsid w:val="001871C5"/>
    <w:rsid w:val="00192028"/>
    <w:rsid w:val="00192363"/>
    <w:rsid w:val="001927F9"/>
    <w:rsid w:val="00192FBA"/>
    <w:rsid w:val="00196493"/>
    <w:rsid w:val="001A1E93"/>
    <w:rsid w:val="001A2198"/>
    <w:rsid w:val="001A331A"/>
    <w:rsid w:val="001A3B5E"/>
    <w:rsid w:val="001B18E1"/>
    <w:rsid w:val="001B1AC1"/>
    <w:rsid w:val="001B2640"/>
    <w:rsid w:val="001B418D"/>
    <w:rsid w:val="001B613A"/>
    <w:rsid w:val="001C063C"/>
    <w:rsid w:val="001C6C82"/>
    <w:rsid w:val="001C7591"/>
    <w:rsid w:val="001D0340"/>
    <w:rsid w:val="001D0575"/>
    <w:rsid w:val="001D076C"/>
    <w:rsid w:val="001D1CE1"/>
    <w:rsid w:val="001D451F"/>
    <w:rsid w:val="001D4848"/>
    <w:rsid w:val="001D7646"/>
    <w:rsid w:val="001E1B6C"/>
    <w:rsid w:val="001E2BA8"/>
    <w:rsid w:val="001E371C"/>
    <w:rsid w:val="001E46F7"/>
    <w:rsid w:val="001E5154"/>
    <w:rsid w:val="001F4597"/>
    <w:rsid w:val="001F4C03"/>
    <w:rsid w:val="001F6796"/>
    <w:rsid w:val="001F73E0"/>
    <w:rsid w:val="00200C5A"/>
    <w:rsid w:val="002013CD"/>
    <w:rsid w:val="002022A9"/>
    <w:rsid w:val="0020377A"/>
    <w:rsid w:val="002074F0"/>
    <w:rsid w:val="00207B26"/>
    <w:rsid w:val="0021078B"/>
    <w:rsid w:val="00211514"/>
    <w:rsid w:val="00211AA9"/>
    <w:rsid w:val="00213466"/>
    <w:rsid w:val="00215C62"/>
    <w:rsid w:val="002167A3"/>
    <w:rsid w:val="00216E80"/>
    <w:rsid w:val="0022037B"/>
    <w:rsid w:val="00221553"/>
    <w:rsid w:val="00223061"/>
    <w:rsid w:val="00223B97"/>
    <w:rsid w:val="00223D58"/>
    <w:rsid w:val="00224A2F"/>
    <w:rsid w:val="002260E7"/>
    <w:rsid w:val="002301A1"/>
    <w:rsid w:val="00230FAC"/>
    <w:rsid w:val="00231046"/>
    <w:rsid w:val="00231275"/>
    <w:rsid w:val="00231C5A"/>
    <w:rsid w:val="00231F07"/>
    <w:rsid w:val="002341A7"/>
    <w:rsid w:val="002351C1"/>
    <w:rsid w:val="002363F4"/>
    <w:rsid w:val="00236625"/>
    <w:rsid w:val="00244E9E"/>
    <w:rsid w:val="0024647D"/>
    <w:rsid w:val="0024777E"/>
    <w:rsid w:val="00250ED9"/>
    <w:rsid w:val="00250FE3"/>
    <w:rsid w:val="00251CF1"/>
    <w:rsid w:val="00253B35"/>
    <w:rsid w:val="0025477C"/>
    <w:rsid w:val="00254CB6"/>
    <w:rsid w:val="00254FCB"/>
    <w:rsid w:val="00255322"/>
    <w:rsid w:val="00256ED7"/>
    <w:rsid w:val="0026101F"/>
    <w:rsid w:val="002610D3"/>
    <w:rsid w:val="002612D8"/>
    <w:rsid w:val="00261ED1"/>
    <w:rsid w:val="00263547"/>
    <w:rsid w:val="002643FF"/>
    <w:rsid w:val="00264666"/>
    <w:rsid w:val="002670C5"/>
    <w:rsid w:val="00273001"/>
    <w:rsid w:val="00275812"/>
    <w:rsid w:val="00277813"/>
    <w:rsid w:val="002779F5"/>
    <w:rsid w:val="0028111A"/>
    <w:rsid w:val="002823CE"/>
    <w:rsid w:val="00283812"/>
    <w:rsid w:val="0028495A"/>
    <w:rsid w:val="00284DF9"/>
    <w:rsid w:val="002850F3"/>
    <w:rsid w:val="00287E51"/>
    <w:rsid w:val="00290B86"/>
    <w:rsid w:val="00290E3E"/>
    <w:rsid w:val="0029190D"/>
    <w:rsid w:val="00292CD9"/>
    <w:rsid w:val="00292EF5"/>
    <w:rsid w:val="00295780"/>
    <w:rsid w:val="00295929"/>
    <w:rsid w:val="00295D71"/>
    <w:rsid w:val="002967EE"/>
    <w:rsid w:val="00296977"/>
    <w:rsid w:val="002B203B"/>
    <w:rsid w:val="002B22DC"/>
    <w:rsid w:val="002B32C7"/>
    <w:rsid w:val="002B3B46"/>
    <w:rsid w:val="002B5933"/>
    <w:rsid w:val="002B5E86"/>
    <w:rsid w:val="002B7F7B"/>
    <w:rsid w:val="002C0679"/>
    <w:rsid w:val="002C3367"/>
    <w:rsid w:val="002D0102"/>
    <w:rsid w:val="002D0363"/>
    <w:rsid w:val="002D1DBC"/>
    <w:rsid w:val="002D255A"/>
    <w:rsid w:val="002D4358"/>
    <w:rsid w:val="002D588D"/>
    <w:rsid w:val="002E1487"/>
    <w:rsid w:val="002E1660"/>
    <w:rsid w:val="002E1EB9"/>
    <w:rsid w:val="002E55EB"/>
    <w:rsid w:val="002F07EC"/>
    <w:rsid w:val="002F1674"/>
    <w:rsid w:val="002F1D47"/>
    <w:rsid w:val="002F211D"/>
    <w:rsid w:val="002F274E"/>
    <w:rsid w:val="002F2C91"/>
    <w:rsid w:val="002F3018"/>
    <w:rsid w:val="002F36C6"/>
    <w:rsid w:val="002F43BB"/>
    <w:rsid w:val="002F5B8F"/>
    <w:rsid w:val="002F7B8E"/>
    <w:rsid w:val="003002CE"/>
    <w:rsid w:val="00306AA6"/>
    <w:rsid w:val="003079F9"/>
    <w:rsid w:val="00310334"/>
    <w:rsid w:val="00311C45"/>
    <w:rsid w:val="00311F50"/>
    <w:rsid w:val="003144A9"/>
    <w:rsid w:val="0031514B"/>
    <w:rsid w:val="00315B1F"/>
    <w:rsid w:val="00315C97"/>
    <w:rsid w:val="00327C11"/>
    <w:rsid w:val="00333FE4"/>
    <w:rsid w:val="00334E5A"/>
    <w:rsid w:val="00334F05"/>
    <w:rsid w:val="003358B0"/>
    <w:rsid w:val="00341292"/>
    <w:rsid w:val="00347FEB"/>
    <w:rsid w:val="0035049B"/>
    <w:rsid w:val="00351AEA"/>
    <w:rsid w:val="00356F03"/>
    <w:rsid w:val="00361BEE"/>
    <w:rsid w:val="00361F51"/>
    <w:rsid w:val="00365B9C"/>
    <w:rsid w:val="00365D24"/>
    <w:rsid w:val="00367956"/>
    <w:rsid w:val="00367A15"/>
    <w:rsid w:val="00373BE6"/>
    <w:rsid w:val="00373E21"/>
    <w:rsid w:val="00374B91"/>
    <w:rsid w:val="00374F89"/>
    <w:rsid w:val="00375C71"/>
    <w:rsid w:val="00376EA8"/>
    <w:rsid w:val="00376F32"/>
    <w:rsid w:val="003774A3"/>
    <w:rsid w:val="00383C97"/>
    <w:rsid w:val="003840AD"/>
    <w:rsid w:val="00384BF4"/>
    <w:rsid w:val="003859F5"/>
    <w:rsid w:val="00393158"/>
    <w:rsid w:val="00395294"/>
    <w:rsid w:val="003A2368"/>
    <w:rsid w:val="003A7B22"/>
    <w:rsid w:val="003B138B"/>
    <w:rsid w:val="003B14CE"/>
    <w:rsid w:val="003B3123"/>
    <w:rsid w:val="003B3A57"/>
    <w:rsid w:val="003B79ED"/>
    <w:rsid w:val="003C02B9"/>
    <w:rsid w:val="003C2F25"/>
    <w:rsid w:val="003C2FFD"/>
    <w:rsid w:val="003C41CA"/>
    <w:rsid w:val="003C4678"/>
    <w:rsid w:val="003C5084"/>
    <w:rsid w:val="003C57B7"/>
    <w:rsid w:val="003C5C1B"/>
    <w:rsid w:val="003D01B0"/>
    <w:rsid w:val="003D17CC"/>
    <w:rsid w:val="003D3F37"/>
    <w:rsid w:val="003D445B"/>
    <w:rsid w:val="003D4517"/>
    <w:rsid w:val="003D58BE"/>
    <w:rsid w:val="003D7DED"/>
    <w:rsid w:val="003E0045"/>
    <w:rsid w:val="003E0B49"/>
    <w:rsid w:val="003E0ED3"/>
    <w:rsid w:val="003E1682"/>
    <w:rsid w:val="003E1A12"/>
    <w:rsid w:val="003E6977"/>
    <w:rsid w:val="003E7337"/>
    <w:rsid w:val="003F1112"/>
    <w:rsid w:val="003F112E"/>
    <w:rsid w:val="003F192C"/>
    <w:rsid w:val="003F1F33"/>
    <w:rsid w:val="003F2411"/>
    <w:rsid w:val="00400359"/>
    <w:rsid w:val="0040174E"/>
    <w:rsid w:val="00402283"/>
    <w:rsid w:val="004036F7"/>
    <w:rsid w:val="0040701C"/>
    <w:rsid w:val="00410598"/>
    <w:rsid w:val="00411229"/>
    <w:rsid w:val="00411528"/>
    <w:rsid w:val="004121FD"/>
    <w:rsid w:val="00413076"/>
    <w:rsid w:val="004132DA"/>
    <w:rsid w:val="00413D57"/>
    <w:rsid w:val="0041440A"/>
    <w:rsid w:val="0041461C"/>
    <w:rsid w:val="00416604"/>
    <w:rsid w:val="00423CB7"/>
    <w:rsid w:val="00424856"/>
    <w:rsid w:val="0042629E"/>
    <w:rsid w:val="0042754C"/>
    <w:rsid w:val="00427CCE"/>
    <w:rsid w:val="00432B52"/>
    <w:rsid w:val="00432DCE"/>
    <w:rsid w:val="0043502B"/>
    <w:rsid w:val="004360FE"/>
    <w:rsid w:val="004373A2"/>
    <w:rsid w:val="004404E3"/>
    <w:rsid w:val="004407FA"/>
    <w:rsid w:val="004427FA"/>
    <w:rsid w:val="00445C7B"/>
    <w:rsid w:val="00456D71"/>
    <w:rsid w:val="004572AB"/>
    <w:rsid w:val="0046081A"/>
    <w:rsid w:val="0046302C"/>
    <w:rsid w:val="00463C86"/>
    <w:rsid w:val="00470317"/>
    <w:rsid w:val="00470911"/>
    <w:rsid w:val="004713CF"/>
    <w:rsid w:val="0047384A"/>
    <w:rsid w:val="00474774"/>
    <w:rsid w:val="004749F9"/>
    <w:rsid w:val="00474EF0"/>
    <w:rsid w:val="00476386"/>
    <w:rsid w:val="0047682C"/>
    <w:rsid w:val="00476A14"/>
    <w:rsid w:val="00485139"/>
    <w:rsid w:val="00486222"/>
    <w:rsid w:val="00486C09"/>
    <w:rsid w:val="00486ECB"/>
    <w:rsid w:val="00487867"/>
    <w:rsid w:val="004913AB"/>
    <w:rsid w:val="00494E8A"/>
    <w:rsid w:val="004960D1"/>
    <w:rsid w:val="004A2C7C"/>
    <w:rsid w:val="004A4C43"/>
    <w:rsid w:val="004B0867"/>
    <w:rsid w:val="004B0B8C"/>
    <w:rsid w:val="004B19AE"/>
    <w:rsid w:val="004B28C5"/>
    <w:rsid w:val="004B28C8"/>
    <w:rsid w:val="004B4F28"/>
    <w:rsid w:val="004B6A59"/>
    <w:rsid w:val="004C1522"/>
    <w:rsid w:val="004C15D6"/>
    <w:rsid w:val="004C206A"/>
    <w:rsid w:val="004C2211"/>
    <w:rsid w:val="004C2AC5"/>
    <w:rsid w:val="004C3015"/>
    <w:rsid w:val="004C5A63"/>
    <w:rsid w:val="004C7DD8"/>
    <w:rsid w:val="004D016F"/>
    <w:rsid w:val="004D0E83"/>
    <w:rsid w:val="004D266E"/>
    <w:rsid w:val="004D2944"/>
    <w:rsid w:val="004D3B5F"/>
    <w:rsid w:val="004D4551"/>
    <w:rsid w:val="004D4B98"/>
    <w:rsid w:val="004D5FDB"/>
    <w:rsid w:val="004D64F7"/>
    <w:rsid w:val="004D7798"/>
    <w:rsid w:val="004D7B54"/>
    <w:rsid w:val="004D7F59"/>
    <w:rsid w:val="004E3BC2"/>
    <w:rsid w:val="004E4596"/>
    <w:rsid w:val="004E6A58"/>
    <w:rsid w:val="004E6EA4"/>
    <w:rsid w:val="004E7631"/>
    <w:rsid w:val="004F22B9"/>
    <w:rsid w:val="004F3E88"/>
    <w:rsid w:val="004F45A6"/>
    <w:rsid w:val="004F4A88"/>
    <w:rsid w:val="004F4D63"/>
    <w:rsid w:val="004F6AC9"/>
    <w:rsid w:val="004F79AF"/>
    <w:rsid w:val="00502CEB"/>
    <w:rsid w:val="0050302D"/>
    <w:rsid w:val="0050371F"/>
    <w:rsid w:val="005037B8"/>
    <w:rsid w:val="00505693"/>
    <w:rsid w:val="005061F0"/>
    <w:rsid w:val="00506B6F"/>
    <w:rsid w:val="00510D92"/>
    <w:rsid w:val="00511DAE"/>
    <w:rsid w:val="00513AAF"/>
    <w:rsid w:val="00513AC0"/>
    <w:rsid w:val="00515F55"/>
    <w:rsid w:val="00516E97"/>
    <w:rsid w:val="00517856"/>
    <w:rsid w:val="00522234"/>
    <w:rsid w:val="00523F0A"/>
    <w:rsid w:val="005258D8"/>
    <w:rsid w:val="00527C46"/>
    <w:rsid w:val="005308BC"/>
    <w:rsid w:val="0053376D"/>
    <w:rsid w:val="00534700"/>
    <w:rsid w:val="005379F3"/>
    <w:rsid w:val="00537F20"/>
    <w:rsid w:val="005430F3"/>
    <w:rsid w:val="00543546"/>
    <w:rsid w:val="005438E6"/>
    <w:rsid w:val="00545EC6"/>
    <w:rsid w:val="0055109F"/>
    <w:rsid w:val="00553ACD"/>
    <w:rsid w:val="00554E25"/>
    <w:rsid w:val="00554FD5"/>
    <w:rsid w:val="00561BFB"/>
    <w:rsid w:val="00563B26"/>
    <w:rsid w:val="00563E87"/>
    <w:rsid w:val="00564D7F"/>
    <w:rsid w:val="00566323"/>
    <w:rsid w:val="00566403"/>
    <w:rsid w:val="00567EF2"/>
    <w:rsid w:val="005730C5"/>
    <w:rsid w:val="0057569C"/>
    <w:rsid w:val="005777EB"/>
    <w:rsid w:val="005810BB"/>
    <w:rsid w:val="0058271E"/>
    <w:rsid w:val="0058334E"/>
    <w:rsid w:val="005834B0"/>
    <w:rsid w:val="00585D44"/>
    <w:rsid w:val="00592DB2"/>
    <w:rsid w:val="00593205"/>
    <w:rsid w:val="00595299"/>
    <w:rsid w:val="00595D2E"/>
    <w:rsid w:val="00597F58"/>
    <w:rsid w:val="005A15FA"/>
    <w:rsid w:val="005A2145"/>
    <w:rsid w:val="005A2B6E"/>
    <w:rsid w:val="005A6120"/>
    <w:rsid w:val="005A6E57"/>
    <w:rsid w:val="005A7CE8"/>
    <w:rsid w:val="005B0802"/>
    <w:rsid w:val="005B4F6C"/>
    <w:rsid w:val="005B5FDE"/>
    <w:rsid w:val="005B6209"/>
    <w:rsid w:val="005C19A6"/>
    <w:rsid w:val="005C3369"/>
    <w:rsid w:val="005C5B23"/>
    <w:rsid w:val="005D080E"/>
    <w:rsid w:val="005D1743"/>
    <w:rsid w:val="005D2021"/>
    <w:rsid w:val="005D23B0"/>
    <w:rsid w:val="005D27A4"/>
    <w:rsid w:val="005D3198"/>
    <w:rsid w:val="005D554C"/>
    <w:rsid w:val="005E03B2"/>
    <w:rsid w:val="005E204F"/>
    <w:rsid w:val="005E27DF"/>
    <w:rsid w:val="005E2DCC"/>
    <w:rsid w:val="005E5873"/>
    <w:rsid w:val="005E5F68"/>
    <w:rsid w:val="005E6BFC"/>
    <w:rsid w:val="005F18CA"/>
    <w:rsid w:val="005F29E1"/>
    <w:rsid w:val="005F2E2A"/>
    <w:rsid w:val="005F3906"/>
    <w:rsid w:val="005F5999"/>
    <w:rsid w:val="006005F2"/>
    <w:rsid w:val="00600A11"/>
    <w:rsid w:val="006038E3"/>
    <w:rsid w:val="00603C11"/>
    <w:rsid w:val="0060784B"/>
    <w:rsid w:val="00607C63"/>
    <w:rsid w:val="00611C87"/>
    <w:rsid w:val="006133A5"/>
    <w:rsid w:val="006135A4"/>
    <w:rsid w:val="006145D2"/>
    <w:rsid w:val="00615424"/>
    <w:rsid w:val="006156BA"/>
    <w:rsid w:val="0061773D"/>
    <w:rsid w:val="00617D74"/>
    <w:rsid w:val="006222A5"/>
    <w:rsid w:val="006223D5"/>
    <w:rsid w:val="00623F5A"/>
    <w:rsid w:val="006243C0"/>
    <w:rsid w:val="00626C6A"/>
    <w:rsid w:val="00627DB8"/>
    <w:rsid w:val="00631E54"/>
    <w:rsid w:val="006322F7"/>
    <w:rsid w:val="00632BB0"/>
    <w:rsid w:val="00635BA9"/>
    <w:rsid w:val="0064247C"/>
    <w:rsid w:val="0064318B"/>
    <w:rsid w:val="00643242"/>
    <w:rsid w:val="00644A68"/>
    <w:rsid w:val="006468A7"/>
    <w:rsid w:val="006468B6"/>
    <w:rsid w:val="00646A59"/>
    <w:rsid w:val="00650CDF"/>
    <w:rsid w:val="0065173C"/>
    <w:rsid w:val="00651C40"/>
    <w:rsid w:val="00651DBA"/>
    <w:rsid w:val="00651EFC"/>
    <w:rsid w:val="00652D0B"/>
    <w:rsid w:val="0065478A"/>
    <w:rsid w:val="00656433"/>
    <w:rsid w:val="00656DC5"/>
    <w:rsid w:val="00657420"/>
    <w:rsid w:val="00660C96"/>
    <w:rsid w:val="006619EC"/>
    <w:rsid w:val="0066607D"/>
    <w:rsid w:val="006663C5"/>
    <w:rsid w:val="00666E25"/>
    <w:rsid w:val="00666FA8"/>
    <w:rsid w:val="00667D7B"/>
    <w:rsid w:val="00667D8C"/>
    <w:rsid w:val="0067794D"/>
    <w:rsid w:val="006801A8"/>
    <w:rsid w:val="00680679"/>
    <w:rsid w:val="00681D2D"/>
    <w:rsid w:val="00682804"/>
    <w:rsid w:val="00684121"/>
    <w:rsid w:val="006866EF"/>
    <w:rsid w:val="006922B3"/>
    <w:rsid w:val="006945D9"/>
    <w:rsid w:val="0069523B"/>
    <w:rsid w:val="006968A0"/>
    <w:rsid w:val="006A0CFA"/>
    <w:rsid w:val="006A5D85"/>
    <w:rsid w:val="006A68FA"/>
    <w:rsid w:val="006B129D"/>
    <w:rsid w:val="006B19E8"/>
    <w:rsid w:val="006B3809"/>
    <w:rsid w:val="006B4898"/>
    <w:rsid w:val="006B51B5"/>
    <w:rsid w:val="006C0622"/>
    <w:rsid w:val="006C1D75"/>
    <w:rsid w:val="006C232C"/>
    <w:rsid w:val="006C526E"/>
    <w:rsid w:val="006C5BE5"/>
    <w:rsid w:val="006C7594"/>
    <w:rsid w:val="006C7C16"/>
    <w:rsid w:val="006C7C47"/>
    <w:rsid w:val="006D00C9"/>
    <w:rsid w:val="006D274A"/>
    <w:rsid w:val="006D4C83"/>
    <w:rsid w:val="006D4C85"/>
    <w:rsid w:val="006D4F2C"/>
    <w:rsid w:val="006D597E"/>
    <w:rsid w:val="006E06AA"/>
    <w:rsid w:val="006E10C5"/>
    <w:rsid w:val="006E45CD"/>
    <w:rsid w:val="006E4668"/>
    <w:rsid w:val="006E5FAD"/>
    <w:rsid w:val="006E6CA2"/>
    <w:rsid w:val="006E6EA9"/>
    <w:rsid w:val="006E7356"/>
    <w:rsid w:val="006F1DED"/>
    <w:rsid w:val="006F2D81"/>
    <w:rsid w:val="006F5653"/>
    <w:rsid w:val="006F7DB2"/>
    <w:rsid w:val="00700DAC"/>
    <w:rsid w:val="00701C5C"/>
    <w:rsid w:val="00702F61"/>
    <w:rsid w:val="007031EF"/>
    <w:rsid w:val="00703842"/>
    <w:rsid w:val="00704B1E"/>
    <w:rsid w:val="00705249"/>
    <w:rsid w:val="0070576E"/>
    <w:rsid w:val="00705B8A"/>
    <w:rsid w:val="00706A65"/>
    <w:rsid w:val="00706DFC"/>
    <w:rsid w:val="007072C3"/>
    <w:rsid w:val="007077A2"/>
    <w:rsid w:val="00711A03"/>
    <w:rsid w:val="00713801"/>
    <w:rsid w:val="00713978"/>
    <w:rsid w:val="00715452"/>
    <w:rsid w:val="00715CCB"/>
    <w:rsid w:val="0071746C"/>
    <w:rsid w:val="00720094"/>
    <w:rsid w:val="00724CE6"/>
    <w:rsid w:val="00726860"/>
    <w:rsid w:val="007301A5"/>
    <w:rsid w:val="00730752"/>
    <w:rsid w:val="007360CC"/>
    <w:rsid w:val="00736C35"/>
    <w:rsid w:val="00737DD4"/>
    <w:rsid w:val="007403CE"/>
    <w:rsid w:val="007424FF"/>
    <w:rsid w:val="00742A71"/>
    <w:rsid w:val="0074512D"/>
    <w:rsid w:val="00747C0E"/>
    <w:rsid w:val="00750882"/>
    <w:rsid w:val="00750F46"/>
    <w:rsid w:val="0075360D"/>
    <w:rsid w:val="00755597"/>
    <w:rsid w:val="00755757"/>
    <w:rsid w:val="00755D24"/>
    <w:rsid w:val="00756648"/>
    <w:rsid w:val="00756CCB"/>
    <w:rsid w:val="007639F9"/>
    <w:rsid w:val="007656C7"/>
    <w:rsid w:val="00766497"/>
    <w:rsid w:val="007679F0"/>
    <w:rsid w:val="00767C2E"/>
    <w:rsid w:val="00775147"/>
    <w:rsid w:val="00777418"/>
    <w:rsid w:val="00781BEA"/>
    <w:rsid w:val="00781D40"/>
    <w:rsid w:val="0078208A"/>
    <w:rsid w:val="00787FDD"/>
    <w:rsid w:val="007911E8"/>
    <w:rsid w:val="0079201D"/>
    <w:rsid w:val="007922D9"/>
    <w:rsid w:val="00792C5E"/>
    <w:rsid w:val="00795F45"/>
    <w:rsid w:val="00796A5D"/>
    <w:rsid w:val="00797BC7"/>
    <w:rsid w:val="007A317C"/>
    <w:rsid w:val="007A4307"/>
    <w:rsid w:val="007A70C8"/>
    <w:rsid w:val="007B2B1B"/>
    <w:rsid w:val="007B2F93"/>
    <w:rsid w:val="007B3168"/>
    <w:rsid w:val="007B3CB7"/>
    <w:rsid w:val="007B4E49"/>
    <w:rsid w:val="007B544A"/>
    <w:rsid w:val="007B71E5"/>
    <w:rsid w:val="007C0BFD"/>
    <w:rsid w:val="007C38F9"/>
    <w:rsid w:val="007C4FA5"/>
    <w:rsid w:val="007D2775"/>
    <w:rsid w:val="007D3F74"/>
    <w:rsid w:val="007E191E"/>
    <w:rsid w:val="007E51B8"/>
    <w:rsid w:val="007E520E"/>
    <w:rsid w:val="007E53BC"/>
    <w:rsid w:val="007E6FA3"/>
    <w:rsid w:val="007E78C6"/>
    <w:rsid w:val="007F096D"/>
    <w:rsid w:val="007F2F08"/>
    <w:rsid w:val="007F5F8C"/>
    <w:rsid w:val="007F7DB0"/>
    <w:rsid w:val="00801D27"/>
    <w:rsid w:val="00802FFC"/>
    <w:rsid w:val="00804293"/>
    <w:rsid w:val="008102E4"/>
    <w:rsid w:val="0081053F"/>
    <w:rsid w:val="00810BB9"/>
    <w:rsid w:val="00810D3E"/>
    <w:rsid w:val="00810D49"/>
    <w:rsid w:val="00810DCF"/>
    <w:rsid w:val="00811909"/>
    <w:rsid w:val="00812248"/>
    <w:rsid w:val="0081254E"/>
    <w:rsid w:val="008128F3"/>
    <w:rsid w:val="00812B72"/>
    <w:rsid w:val="008139E2"/>
    <w:rsid w:val="00815437"/>
    <w:rsid w:val="0081645E"/>
    <w:rsid w:val="00816B15"/>
    <w:rsid w:val="00816E70"/>
    <w:rsid w:val="00817803"/>
    <w:rsid w:val="00817A83"/>
    <w:rsid w:val="0082004E"/>
    <w:rsid w:val="00820D7C"/>
    <w:rsid w:val="008210FA"/>
    <w:rsid w:val="0082302C"/>
    <w:rsid w:val="00824B77"/>
    <w:rsid w:val="00830081"/>
    <w:rsid w:val="008308D7"/>
    <w:rsid w:val="008321A3"/>
    <w:rsid w:val="0083457A"/>
    <w:rsid w:val="008353A6"/>
    <w:rsid w:val="00835F30"/>
    <w:rsid w:val="00836E29"/>
    <w:rsid w:val="0083766D"/>
    <w:rsid w:val="00842C75"/>
    <w:rsid w:val="00844387"/>
    <w:rsid w:val="0084489B"/>
    <w:rsid w:val="00844D8F"/>
    <w:rsid w:val="00846C95"/>
    <w:rsid w:val="008475C2"/>
    <w:rsid w:val="00853032"/>
    <w:rsid w:val="00853BEB"/>
    <w:rsid w:val="00853DF8"/>
    <w:rsid w:val="00853E0C"/>
    <w:rsid w:val="00854A4C"/>
    <w:rsid w:val="00857074"/>
    <w:rsid w:val="00857DE2"/>
    <w:rsid w:val="00860438"/>
    <w:rsid w:val="00860553"/>
    <w:rsid w:val="008609AB"/>
    <w:rsid w:val="00861A85"/>
    <w:rsid w:val="0086405F"/>
    <w:rsid w:val="008641DE"/>
    <w:rsid w:val="008649A5"/>
    <w:rsid w:val="00864B48"/>
    <w:rsid w:val="008676C1"/>
    <w:rsid w:val="00867D38"/>
    <w:rsid w:val="00867D95"/>
    <w:rsid w:val="0087281C"/>
    <w:rsid w:val="008738C4"/>
    <w:rsid w:val="00874EE2"/>
    <w:rsid w:val="008767E3"/>
    <w:rsid w:val="008770EB"/>
    <w:rsid w:val="008837C8"/>
    <w:rsid w:val="00884493"/>
    <w:rsid w:val="008848E8"/>
    <w:rsid w:val="00885A6C"/>
    <w:rsid w:val="008862FB"/>
    <w:rsid w:val="008905CD"/>
    <w:rsid w:val="00891293"/>
    <w:rsid w:val="00891485"/>
    <w:rsid w:val="008931F8"/>
    <w:rsid w:val="0089379D"/>
    <w:rsid w:val="00893FD3"/>
    <w:rsid w:val="0089421F"/>
    <w:rsid w:val="0089775F"/>
    <w:rsid w:val="008A0DE4"/>
    <w:rsid w:val="008A3EB3"/>
    <w:rsid w:val="008A5F75"/>
    <w:rsid w:val="008A7BCC"/>
    <w:rsid w:val="008B13FB"/>
    <w:rsid w:val="008B1D2F"/>
    <w:rsid w:val="008B5552"/>
    <w:rsid w:val="008B60E6"/>
    <w:rsid w:val="008B682A"/>
    <w:rsid w:val="008B702F"/>
    <w:rsid w:val="008B7698"/>
    <w:rsid w:val="008C1440"/>
    <w:rsid w:val="008C5F6F"/>
    <w:rsid w:val="008C6704"/>
    <w:rsid w:val="008C6806"/>
    <w:rsid w:val="008D06CB"/>
    <w:rsid w:val="008D0CF0"/>
    <w:rsid w:val="008D1B4B"/>
    <w:rsid w:val="008D60D1"/>
    <w:rsid w:val="008D6C01"/>
    <w:rsid w:val="008D7104"/>
    <w:rsid w:val="008D74A9"/>
    <w:rsid w:val="008E3A33"/>
    <w:rsid w:val="008E47AA"/>
    <w:rsid w:val="008E4E73"/>
    <w:rsid w:val="008E6AA1"/>
    <w:rsid w:val="008E6B92"/>
    <w:rsid w:val="008E728C"/>
    <w:rsid w:val="008E7930"/>
    <w:rsid w:val="008F0BA1"/>
    <w:rsid w:val="008F10F5"/>
    <w:rsid w:val="008F280D"/>
    <w:rsid w:val="008F5806"/>
    <w:rsid w:val="008F6F8F"/>
    <w:rsid w:val="008F7E23"/>
    <w:rsid w:val="0090158D"/>
    <w:rsid w:val="00901F5A"/>
    <w:rsid w:val="00907929"/>
    <w:rsid w:val="00911427"/>
    <w:rsid w:val="0091432C"/>
    <w:rsid w:val="0091452A"/>
    <w:rsid w:val="00914B50"/>
    <w:rsid w:val="00915C80"/>
    <w:rsid w:val="00917455"/>
    <w:rsid w:val="00921580"/>
    <w:rsid w:val="00922AC8"/>
    <w:rsid w:val="00923ECE"/>
    <w:rsid w:val="0092437B"/>
    <w:rsid w:val="00924AF4"/>
    <w:rsid w:val="00930A3B"/>
    <w:rsid w:val="009339AE"/>
    <w:rsid w:val="0093462D"/>
    <w:rsid w:val="00936089"/>
    <w:rsid w:val="00936B12"/>
    <w:rsid w:val="00936F7A"/>
    <w:rsid w:val="00940392"/>
    <w:rsid w:val="0094330E"/>
    <w:rsid w:val="00943DFE"/>
    <w:rsid w:val="009460FA"/>
    <w:rsid w:val="0095104B"/>
    <w:rsid w:val="009542D3"/>
    <w:rsid w:val="009554FA"/>
    <w:rsid w:val="009579B3"/>
    <w:rsid w:val="00964E13"/>
    <w:rsid w:val="00965686"/>
    <w:rsid w:val="00966853"/>
    <w:rsid w:val="00966C95"/>
    <w:rsid w:val="009670F1"/>
    <w:rsid w:val="009672DB"/>
    <w:rsid w:val="00967FCA"/>
    <w:rsid w:val="00970013"/>
    <w:rsid w:val="00971303"/>
    <w:rsid w:val="00972AFC"/>
    <w:rsid w:val="009737E8"/>
    <w:rsid w:val="009740D7"/>
    <w:rsid w:val="009741C8"/>
    <w:rsid w:val="009746E8"/>
    <w:rsid w:val="00976588"/>
    <w:rsid w:val="009831AB"/>
    <w:rsid w:val="00984876"/>
    <w:rsid w:val="00985D70"/>
    <w:rsid w:val="0098647E"/>
    <w:rsid w:val="00986532"/>
    <w:rsid w:val="00987737"/>
    <w:rsid w:val="00990654"/>
    <w:rsid w:val="009908D9"/>
    <w:rsid w:val="0099099B"/>
    <w:rsid w:val="009913C6"/>
    <w:rsid w:val="009916BD"/>
    <w:rsid w:val="009957EE"/>
    <w:rsid w:val="00995F33"/>
    <w:rsid w:val="009A399B"/>
    <w:rsid w:val="009A42A2"/>
    <w:rsid w:val="009B0827"/>
    <w:rsid w:val="009B1510"/>
    <w:rsid w:val="009B3EAB"/>
    <w:rsid w:val="009B3FCE"/>
    <w:rsid w:val="009B555E"/>
    <w:rsid w:val="009C041E"/>
    <w:rsid w:val="009C0AC8"/>
    <w:rsid w:val="009C472B"/>
    <w:rsid w:val="009D27DE"/>
    <w:rsid w:val="009D33B7"/>
    <w:rsid w:val="009D4FA3"/>
    <w:rsid w:val="009D5FAC"/>
    <w:rsid w:val="009D719D"/>
    <w:rsid w:val="009E48FB"/>
    <w:rsid w:val="009E6400"/>
    <w:rsid w:val="009F6B97"/>
    <w:rsid w:val="009F7216"/>
    <w:rsid w:val="00A00465"/>
    <w:rsid w:val="00A04206"/>
    <w:rsid w:val="00A04E33"/>
    <w:rsid w:val="00A134B7"/>
    <w:rsid w:val="00A13A5C"/>
    <w:rsid w:val="00A13B4E"/>
    <w:rsid w:val="00A16A4A"/>
    <w:rsid w:val="00A17892"/>
    <w:rsid w:val="00A20840"/>
    <w:rsid w:val="00A2218E"/>
    <w:rsid w:val="00A223E1"/>
    <w:rsid w:val="00A2381E"/>
    <w:rsid w:val="00A3690C"/>
    <w:rsid w:val="00A37925"/>
    <w:rsid w:val="00A41A1E"/>
    <w:rsid w:val="00A4297C"/>
    <w:rsid w:val="00A43A81"/>
    <w:rsid w:val="00A44970"/>
    <w:rsid w:val="00A45769"/>
    <w:rsid w:val="00A45CEE"/>
    <w:rsid w:val="00A50669"/>
    <w:rsid w:val="00A50DA2"/>
    <w:rsid w:val="00A5122A"/>
    <w:rsid w:val="00A518AA"/>
    <w:rsid w:val="00A518C9"/>
    <w:rsid w:val="00A5233F"/>
    <w:rsid w:val="00A53ACA"/>
    <w:rsid w:val="00A542D9"/>
    <w:rsid w:val="00A60545"/>
    <w:rsid w:val="00A61853"/>
    <w:rsid w:val="00A62C9F"/>
    <w:rsid w:val="00A64A9A"/>
    <w:rsid w:val="00A70CCE"/>
    <w:rsid w:val="00A73A92"/>
    <w:rsid w:val="00A740F4"/>
    <w:rsid w:val="00A8245B"/>
    <w:rsid w:val="00A8353A"/>
    <w:rsid w:val="00A83E6C"/>
    <w:rsid w:val="00A8755C"/>
    <w:rsid w:val="00A91321"/>
    <w:rsid w:val="00A930A4"/>
    <w:rsid w:val="00A97E21"/>
    <w:rsid w:val="00AA2BF9"/>
    <w:rsid w:val="00AA3838"/>
    <w:rsid w:val="00AA5E27"/>
    <w:rsid w:val="00AB0E36"/>
    <w:rsid w:val="00AB1F94"/>
    <w:rsid w:val="00AB73E8"/>
    <w:rsid w:val="00AB7CF5"/>
    <w:rsid w:val="00AC38E7"/>
    <w:rsid w:val="00AD0688"/>
    <w:rsid w:val="00AD1D8C"/>
    <w:rsid w:val="00AD22DE"/>
    <w:rsid w:val="00AD3AC3"/>
    <w:rsid w:val="00AD68E2"/>
    <w:rsid w:val="00AD68E8"/>
    <w:rsid w:val="00AD6DEF"/>
    <w:rsid w:val="00AD6ED7"/>
    <w:rsid w:val="00AD7D20"/>
    <w:rsid w:val="00AE0531"/>
    <w:rsid w:val="00AE50DB"/>
    <w:rsid w:val="00AE5450"/>
    <w:rsid w:val="00AF1D44"/>
    <w:rsid w:val="00AF3198"/>
    <w:rsid w:val="00AF4C64"/>
    <w:rsid w:val="00AF4D6D"/>
    <w:rsid w:val="00AF68E2"/>
    <w:rsid w:val="00AF6CD1"/>
    <w:rsid w:val="00B00B9A"/>
    <w:rsid w:val="00B037B7"/>
    <w:rsid w:val="00B03D6B"/>
    <w:rsid w:val="00B04603"/>
    <w:rsid w:val="00B077A2"/>
    <w:rsid w:val="00B13371"/>
    <w:rsid w:val="00B1402C"/>
    <w:rsid w:val="00B20746"/>
    <w:rsid w:val="00B20C4B"/>
    <w:rsid w:val="00B20D90"/>
    <w:rsid w:val="00B22309"/>
    <w:rsid w:val="00B27028"/>
    <w:rsid w:val="00B276D1"/>
    <w:rsid w:val="00B27A96"/>
    <w:rsid w:val="00B31394"/>
    <w:rsid w:val="00B3271A"/>
    <w:rsid w:val="00B336D5"/>
    <w:rsid w:val="00B3517D"/>
    <w:rsid w:val="00B3635A"/>
    <w:rsid w:val="00B36C43"/>
    <w:rsid w:val="00B36CD0"/>
    <w:rsid w:val="00B40D88"/>
    <w:rsid w:val="00B40F14"/>
    <w:rsid w:val="00B43B28"/>
    <w:rsid w:val="00B44D6D"/>
    <w:rsid w:val="00B4513F"/>
    <w:rsid w:val="00B464AA"/>
    <w:rsid w:val="00B46D4A"/>
    <w:rsid w:val="00B51BF7"/>
    <w:rsid w:val="00B525BE"/>
    <w:rsid w:val="00B53216"/>
    <w:rsid w:val="00B55464"/>
    <w:rsid w:val="00B56215"/>
    <w:rsid w:val="00B57117"/>
    <w:rsid w:val="00B6087F"/>
    <w:rsid w:val="00B70198"/>
    <w:rsid w:val="00B75184"/>
    <w:rsid w:val="00B75966"/>
    <w:rsid w:val="00B77E2E"/>
    <w:rsid w:val="00B82820"/>
    <w:rsid w:val="00B83809"/>
    <w:rsid w:val="00B83FC9"/>
    <w:rsid w:val="00B855E5"/>
    <w:rsid w:val="00B863B6"/>
    <w:rsid w:val="00B8700D"/>
    <w:rsid w:val="00B870AD"/>
    <w:rsid w:val="00B9119B"/>
    <w:rsid w:val="00B94188"/>
    <w:rsid w:val="00B95765"/>
    <w:rsid w:val="00B96EF8"/>
    <w:rsid w:val="00BA0BE3"/>
    <w:rsid w:val="00BA11E3"/>
    <w:rsid w:val="00BA1EDF"/>
    <w:rsid w:val="00BA20DD"/>
    <w:rsid w:val="00BA3EBC"/>
    <w:rsid w:val="00BA41F7"/>
    <w:rsid w:val="00BA4669"/>
    <w:rsid w:val="00BB441A"/>
    <w:rsid w:val="00BB653E"/>
    <w:rsid w:val="00BC0B86"/>
    <w:rsid w:val="00BC1985"/>
    <w:rsid w:val="00BC378A"/>
    <w:rsid w:val="00BC3889"/>
    <w:rsid w:val="00BC4244"/>
    <w:rsid w:val="00BC5343"/>
    <w:rsid w:val="00BC5483"/>
    <w:rsid w:val="00BD17DF"/>
    <w:rsid w:val="00BD1C42"/>
    <w:rsid w:val="00BD5CFD"/>
    <w:rsid w:val="00BD7983"/>
    <w:rsid w:val="00BE1B82"/>
    <w:rsid w:val="00BE7701"/>
    <w:rsid w:val="00BF036B"/>
    <w:rsid w:val="00BF0EB3"/>
    <w:rsid w:val="00BF172D"/>
    <w:rsid w:val="00BF292A"/>
    <w:rsid w:val="00BF4351"/>
    <w:rsid w:val="00BF4ED7"/>
    <w:rsid w:val="00BF5578"/>
    <w:rsid w:val="00BF5A6D"/>
    <w:rsid w:val="00BF5F81"/>
    <w:rsid w:val="00C01E0F"/>
    <w:rsid w:val="00C02C62"/>
    <w:rsid w:val="00C049BA"/>
    <w:rsid w:val="00C0586E"/>
    <w:rsid w:val="00C070AB"/>
    <w:rsid w:val="00C07ECC"/>
    <w:rsid w:val="00C07F26"/>
    <w:rsid w:val="00C13CED"/>
    <w:rsid w:val="00C222D2"/>
    <w:rsid w:val="00C269AD"/>
    <w:rsid w:val="00C2701A"/>
    <w:rsid w:val="00C31145"/>
    <w:rsid w:val="00C35EE7"/>
    <w:rsid w:val="00C37082"/>
    <w:rsid w:val="00C40300"/>
    <w:rsid w:val="00C416E7"/>
    <w:rsid w:val="00C433F0"/>
    <w:rsid w:val="00C45A4D"/>
    <w:rsid w:val="00C46818"/>
    <w:rsid w:val="00C46DF9"/>
    <w:rsid w:val="00C47A44"/>
    <w:rsid w:val="00C50F6D"/>
    <w:rsid w:val="00C51104"/>
    <w:rsid w:val="00C52F53"/>
    <w:rsid w:val="00C537F3"/>
    <w:rsid w:val="00C54A41"/>
    <w:rsid w:val="00C54D7C"/>
    <w:rsid w:val="00C54FDF"/>
    <w:rsid w:val="00C5565F"/>
    <w:rsid w:val="00C5791C"/>
    <w:rsid w:val="00C61495"/>
    <w:rsid w:val="00C63507"/>
    <w:rsid w:val="00C64936"/>
    <w:rsid w:val="00C7297A"/>
    <w:rsid w:val="00C744F5"/>
    <w:rsid w:val="00C765FF"/>
    <w:rsid w:val="00C80B04"/>
    <w:rsid w:val="00C81703"/>
    <w:rsid w:val="00C82B9D"/>
    <w:rsid w:val="00C83643"/>
    <w:rsid w:val="00C848A8"/>
    <w:rsid w:val="00C85507"/>
    <w:rsid w:val="00C8600A"/>
    <w:rsid w:val="00C870E9"/>
    <w:rsid w:val="00C910D2"/>
    <w:rsid w:val="00C91861"/>
    <w:rsid w:val="00C97DE3"/>
    <w:rsid w:val="00CA309E"/>
    <w:rsid w:val="00CA4AD4"/>
    <w:rsid w:val="00CA5876"/>
    <w:rsid w:val="00CA5C8F"/>
    <w:rsid w:val="00CA63A6"/>
    <w:rsid w:val="00CA6B3F"/>
    <w:rsid w:val="00CB2A2B"/>
    <w:rsid w:val="00CB2B73"/>
    <w:rsid w:val="00CB4A04"/>
    <w:rsid w:val="00CB66D9"/>
    <w:rsid w:val="00CB7580"/>
    <w:rsid w:val="00CC0A36"/>
    <w:rsid w:val="00CC11A5"/>
    <w:rsid w:val="00CC1466"/>
    <w:rsid w:val="00CC22FA"/>
    <w:rsid w:val="00CC27B2"/>
    <w:rsid w:val="00CC55FE"/>
    <w:rsid w:val="00CC5896"/>
    <w:rsid w:val="00CC6A2D"/>
    <w:rsid w:val="00CC7138"/>
    <w:rsid w:val="00CD2091"/>
    <w:rsid w:val="00CD27F9"/>
    <w:rsid w:val="00CD58C4"/>
    <w:rsid w:val="00CD629A"/>
    <w:rsid w:val="00CD7DC5"/>
    <w:rsid w:val="00CD7E06"/>
    <w:rsid w:val="00CE0B4C"/>
    <w:rsid w:val="00CE21D8"/>
    <w:rsid w:val="00CE3C82"/>
    <w:rsid w:val="00CE5A21"/>
    <w:rsid w:val="00CE6BE3"/>
    <w:rsid w:val="00CF1A3B"/>
    <w:rsid w:val="00CF29E8"/>
    <w:rsid w:val="00CF2DE6"/>
    <w:rsid w:val="00CF3AAE"/>
    <w:rsid w:val="00CF587C"/>
    <w:rsid w:val="00CF6F47"/>
    <w:rsid w:val="00D0026B"/>
    <w:rsid w:val="00D01EF7"/>
    <w:rsid w:val="00D026B8"/>
    <w:rsid w:val="00D032AD"/>
    <w:rsid w:val="00D04787"/>
    <w:rsid w:val="00D04FA4"/>
    <w:rsid w:val="00D06F63"/>
    <w:rsid w:val="00D06F89"/>
    <w:rsid w:val="00D07D43"/>
    <w:rsid w:val="00D12389"/>
    <w:rsid w:val="00D14242"/>
    <w:rsid w:val="00D148E8"/>
    <w:rsid w:val="00D16C4C"/>
    <w:rsid w:val="00D16C57"/>
    <w:rsid w:val="00D17595"/>
    <w:rsid w:val="00D211B9"/>
    <w:rsid w:val="00D21936"/>
    <w:rsid w:val="00D22A62"/>
    <w:rsid w:val="00D22CCC"/>
    <w:rsid w:val="00D23892"/>
    <w:rsid w:val="00D24EB9"/>
    <w:rsid w:val="00D264F5"/>
    <w:rsid w:val="00D26B79"/>
    <w:rsid w:val="00D27362"/>
    <w:rsid w:val="00D275AB"/>
    <w:rsid w:val="00D30BFB"/>
    <w:rsid w:val="00D33BF3"/>
    <w:rsid w:val="00D3519D"/>
    <w:rsid w:val="00D36D7A"/>
    <w:rsid w:val="00D37B16"/>
    <w:rsid w:val="00D43784"/>
    <w:rsid w:val="00D441F7"/>
    <w:rsid w:val="00D4434D"/>
    <w:rsid w:val="00D443FD"/>
    <w:rsid w:val="00D45484"/>
    <w:rsid w:val="00D4560F"/>
    <w:rsid w:val="00D4693D"/>
    <w:rsid w:val="00D478F1"/>
    <w:rsid w:val="00D52BF6"/>
    <w:rsid w:val="00D54DBE"/>
    <w:rsid w:val="00D556D7"/>
    <w:rsid w:val="00D60CF7"/>
    <w:rsid w:val="00D63820"/>
    <w:rsid w:val="00D644EE"/>
    <w:rsid w:val="00D66B04"/>
    <w:rsid w:val="00D676A0"/>
    <w:rsid w:val="00D70687"/>
    <w:rsid w:val="00D7162A"/>
    <w:rsid w:val="00D75798"/>
    <w:rsid w:val="00D75B06"/>
    <w:rsid w:val="00D772B9"/>
    <w:rsid w:val="00D80B62"/>
    <w:rsid w:val="00D82729"/>
    <w:rsid w:val="00D82C81"/>
    <w:rsid w:val="00D83B7C"/>
    <w:rsid w:val="00D85A33"/>
    <w:rsid w:val="00D86BC6"/>
    <w:rsid w:val="00D92EEC"/>
    <w:rsid w:val="00D9712F"/>
    <w:rsid w:val="00D97942"/>
    <w:rsid w:val="00DA056B"/>
    <w:rsid w:val="00DA1FEA"/>
    <w:rsid w:val="00DA23D0"/>
    <w:rsid w:val="00DA4105"/>
    <w:rsid w:val="00DA6994"/>
    <w:rsid w:val="00DB3A08"/>
    <w:rsid w:val="00DB6228"/>
    <w:rsid w:val="00DC1D87"/>
    <w:rsid w:val="00DC6625"/>
    <w:rsid w:val="00DC7D12"/>
    <w:rsid w:val="00DD1447"/>
    <w:rsid w:val="00DD1772"/>
    <w:rsid w:val="00DD378D"/>
    <w:rsid w:val="00DD4BAA"/>
    <w:rsid w:val="00DD5088"/>
    <w:rsid w:val="00DD7F81"/>
    <w:rsid w:val="00DE0010"/>
    <w:rsid w:val="00DE0F84"/>
    <w:rsid w:val="00DE2B8B"/>
    <w:rsid w:val="00DE3A8A"/>
    <w:rsid w:val="00DE3EE4"/>
    <w:rsid w:val="00DE53DE"/>
    <w:rsid w:val="00DE7512"/>
    <w:rsid w:val="00DF0674"/>
    <w:rsid w:val="00DF275E"/>
    <w:rsid w:val="00DF27BA"/>
    <w:rsid w:val="00DF2846"/>
    <w:rsid w:val="00DF2E15"/>
    <w:rsid w:val="00DF4B34"/>
    <w:rsid w:val="00DF7093"/>
    <w:rsid w:val="00DF796F"/>
    <w:rsid w:val="00E0079D"/>
    <w:rsid w:val="00E01B5B"/>
    <w:rsid w:val="00E062BD"/>
    <w:rsid w:val="00E0634E"/>
    <w:rsid w:val="00E071A2"/>
    <w:rsid w:val="00E07579"/>
    <w:rsid w:val="00E07A1A"/>
    <w:rsid w:val="00E07AE3"/>
    <w:rsid w:val="00E07FD4"/>
    <w:rsid w:val="00E101FC"/>
    <w:rsid w:val="00E10F61"/>
    <w:rsid w:val="00E122D8"/>
    <w:rsid w:val="00E143F7"/>
    <w:rsid w:val="00E15A1D"/>
    <w:rsid w:val="00E21845"/>
    <w:rsid w:val="00E236FC"/>
    <w:rsid w:val="00E24885"/>
    <w:rsid w:val="00E25902"/>
    <w:rsid w:val="00E25AC7"/>
    <w:rsid w:val="00E271E2"/>
    <w:rsid w:val="00E27508"/>
    <w:rsid w:val="00E30066"/>
    <w:rsid w:val="00E315D8"/>
    <w:rsid w:val="00E345F1"/>
    <w:rsid w:val="00E36C6D"/>
    <w:rsid w:val="00E40049"/>
    <w:rsid w:val="00E44096"/>
    <w:rsid w:val="00E46BF3"/>
    <w:rsid w:val="00E51825"/>
    <w:rsid w:val="00E54A1F"/>
    <w:rsid w:val="00E54F4A"/>
    <w:rsid w:val="00E579B6"/>
    <w:rsid w:val="00E62DD5"/>
    <w:rsid w:val="00E637B9"/>
    <w:rsid w:val="00E64AC8"/>
    <w:rsid w:val="00E65B08"/>
    <w:rsid w:val="00E65DE2"/>
    <w:rsid w:val="00E67B27"/>
    <w:rsid w:val="00E71207"/>
    <w:rsid w:val="00E72C6F"/>
    <w:rsid w:val="00E731AD"/>
    <w:rsid w:val="00E75873"/>
    <w:rsid w:val="00E75A90"/>
    <w:rsid w:val="00E75B87"/>
    <w:rsid w:val="00E7684E"/>
    <w:rsid w:val="00E773E5"/>
    <w:rsid w:val="00E827A2"/>
    <w:rsid w:val="00E851F0"/>
    <w:rsid w:val="00E85389"/>
    <w:rsid w:val="00E8577F"/>
    <w:rsid w:val="00E871D2"/>
    <w:rsid w:val="00E87C1E"/>
    <w:rsid w:val="00E92667"/>
    <w:rsid w:val="00E92B0A"/>
    <w:rsid w:val="00E9531F"/>
    <w:rsid w:val="00E968EF"/>
    <w:rsid w:val="00EA3E61"/>
    <w:rsid w:val="00EA5E65"/>
    <w:rsid w:val="00EA6733"/>
    <w:rsid w:val="00EA7CB5"/>
    <w:rsid w:val="00EB468C"/>
    <w:rsid w:val="00EB46C9"/>
    <w:rsid w:val="00EB4EC5"/>
    <w:rsid w:val="00EB57D5"/>
    <w:rsid w:val="00EB6762"/>
    <w:rsid w:val="00EC0DA2"/>
    <w:rsid w:val="00EC1E75"/>
    <w:rsid w:val="00EC1EFC"/>
    <w:rsid w:val="00EC4BC2"/>
    <w:rsid w:val="00EC5AA8"/>
    <w:rsid w:val="00EC7EF6"/>
    <w:rsid w:val="00ED0C6B"/>
    <w:rsid w:val="00ED1135"/>
    <w:rsid w:val="00ED1DE5"/>
    <w:rsid w:val="00ED28F5"/>
    <w:rsid w:val="00ED4007"/>
    <w:rsid w:val="00ED6F66"/>
    <w:rsid w:val="00EE0559"/>
    <w:rsid w:val="00EE6547"/>
    <w:rsid w:val="00EF156A"/>
    <w:rsid w:val="00EF672A"/>
    <w:rsid w:val="00F0044D"/>
    <w:rsid w:val="00F02D73"/>
    <w:rsid w:val="00F046DB"/>
    <w:rsid w:val="00F12577"/>
    <w:rsid w:val="00F133DE"/>
    <w:rsid w:val="00F143EB"/>
    <w:rsid w:val="00F151F0"/>
    <w:rsid w:val="00F17210"/>
    <w:rsid w:val="00F201D1"/>
    <w:rsid w:val="00F2282C"/>
    <w:rsid w:val="00F22893"/>
    <w:rsid w:val="00F23986"/>
    <w:rsid w:val="00F26EBB"/>
    <w:rsid w:val="00F36569"/>
    <w:rsid w:val="00F37C76"/>
    <w:rsid w:val="00F414B7"/>
    <w:rsid w:val="00F41714"/>
    <w:rsid w:val="00F418DF"/>
    <w:rsid w:val="00F422B3"/>
    <w:rsid w:val="00F43931"/>
    <w:rsid w:val="00F445C2"/>
    <w:rsid w:val="00F44897"/>
    <w:rsid w:val="00F44F8F"/>
    <w:rsid w:val="00F508FC"/>
    <w:rsid w:val="00F51760"/>
    <w:rsid w:val="00F540CA"/>
    <w:rsid w:val="00F549A4"/>
    <w:rsid w:val="00F572C6"/>
    <w:rsid w:val="00F60675"/>
    <w:rsid w:val="00F62A0D"/>
    <w:rsid w:val="00F63C91"/>
    <w:rsid w:val="00F63E1E"/>
    <w:rsid w:val="00F7220A"/>
    <w:rsid w:val="00F72F46"/>
    <w:rsid w:val="00F800D5"/>
    <w:rsid w:val="00F80A10"/>
    <w:rsid w:val="00F8103C"/>
    <w:rsid w:val="00F82CA2"/>
    <w:rsid w:val="00F855A3"/>
    <w:rsid w:val="00F90C14"/>
    <w:rsid w:val="00F91888"/>
    <w:rsid w:val="00F938F2"/>
    <w:rsid w:val="00F9419D"/>
    <w:rsid w:val="00F95F70"/>
    <w:rsid w:val="00F97CC1"/>
    <w:rsid w:val="00FA04B3"/>
    <w:rsid w:val="00FA4B4B"/>
    <w:rsid w:val="00FA4DBA"/>
    <w:rsid w:val="00FA6E15"/>
    <w:rsid w:val="00FA6EBA"/>
    <w:rsid w:val="00FA7D50"/>
    <w:rsid w:val="00FC114B"/>
    <w:rsid w:val="00FC1A91"/>
    <w:rsid w:val="00FC1E80"/>
    <w:rsid w:val="00FC47BE"/>
    <w:rsid w:val="00FC587A"/>
    <w:rsid w:val="00FD0310"/>
    <w:rsid w:val="00FD32B2"/>
    <w:rsid w:val="00FD3546"/>
    <w:rsid w:val="00FD6ACE"/>
    <w:rsid w:val="00FD7494"/>
    <w:rsid w:val="00FE2DFB"/>
    <w:rsid w:val="00FE36E2"/>
    <w:rsid w:val="00FE3A42"/>
    <w:rsid w:val="00FE3E25"/>
    <w:rsid w:val="00FE4542"/>
    <w:rsid w:val="00FE582B"/>
    <w:rsid w:val="00FE67A4"/>
    <w:rsid w:val="00FE756F"/>
    <w:rsid w:val="00FF05C9"/>
    <w:rsid w:val="00FF098C"/>
    <w:rsid w:val="00FF22D1"/>
    <w:rsid w:val="00FF44CC"/>
    <w:rsid w:val="00FF5403"/>
    <w:rsid w:val="00FF72E9"/>
    <w:rsid w:val="00FF7A1A"/>
    <w:rsid w:val="026E7585"/>
    <w:rsid w:val="07C519D6"/>
    <w:rsid w:val="0C4FE931"/>
    <w:rsid w:val="0DEC3047"/>
    <w:rsid w:val="134C2BF4"/>
    <w:rsid w:val="13A31397"/>
    <w:rsid w:val="1B382CEA"/>
    <w:rsid w:val="236031C6"/>
    <w:rsid w:val="283DCBD1"/>
    <w:rsid w:val="3C775E32"/>
    <w:rsid w:val="3CEA5755"/>
    <w:rsid w:val="43D1E63E"/>
    <w:rsid w:val="44A89E2C"/>
    <w:rsid w:val="45250880"/>
    <w:rsid w:val="4635AB00"/>
    <w:rsid w:val="471F1CBF"/>
    <w:rsid w:val="47859406"/>
    <w:rsid w:val="47F21694"/>
    <w:rsid w:val="4A993EF4"/>
    <w:rsid w:val="4E282C00"/>
    <w:rsid w:val="4F9AA9B8"/>
    <w:rsid w:val="4FF91CED"/>
    <w:rsid w:val="56A49ADE"/>
    <w:rsid w:val="58ECDEC1"/>
    <w:rsid w:val="5E0836CD"/>
    <w:rsid w:val="705A69E4"/>
    <w:rsid w:val="7432C301"/>
    <w:rsid w:val="74CCEF97"/>
    <w:rsid w:val="77499579"/>
    <w:rsid w:val="795503AB"/>
    <w:rsid w:val="7C2A4FFC"/>
    <w:rsid w:val="7F4B30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968B"/>
  <w15:chartTrackingRefBased/>
  <w15:docId w15:val="{4F183D44-885B-4112-B2D8-38B41AFE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50"/>
    <w:pPr>
      <w:spacing w:after="0" w:line="240" w:lineRule="auto"/>
    </w:pPr>
    <w:rPr>
      <w:rFonts w:ascii="Poppins" w:hAnsi="Poppins"/>
      <w:sz w:val="24"/>
    </w:rPr>
  </w:style>
  <w:style w:type="paragraph" w:styleId="Heading1">
    <w:name w:val="heading 1"/>
    <w:basedOn w:val="Normal"/>
    <w:next w:val="Normal"/>
    <w:link w:val="Heading1Char"/>
    <w:uiPriority w:val="9"/>
    <w:qFormat/>
    <w:rsid w:val="0010697F"/>
    <w:pPr>
      <w:keepNext/>
      <w:keepLines/>
      <w:spacing w:after="120"/>
      <w:outlineLvl w:val="0"/>
    </w:pPr>
    <w:rPr>
      <w:rFonts w:eastAsiaTheme="majorEastAsia" w:cstheme="majorBidi"/>
      <w:b/>
      <w:color w:val="E73E97" w:themeColor="accent2"/>
      <w:sz w:val="36"/>
      <w:szCs w:val="32"/>
    </w:rPr>
  </w:style>
  <w:style w:type="paragraph" w:styleId="Heading2">
    <w:name w:val="heading 2"/>
    <w:basedOn w:val="Normal"/>
    <w:next w:val="Normal"/>
    <w:link w:val="Heading2Char"/>
    <w:uiPriority w:val="9"/>
    <w:unhideWhenUsed/>
    <w:qFormat/>
    <w:rsid w:val="00D7162A"/>
    <w:pPr>
      <w:keepNext/>
      <w:keepLines/>
      <w:outlineLvl w:val="1"/>
    </w:pPr>
    <w:rPr>
      <w:rFonts w:eastAsiaTheme="majorEastAsia" w:cstheme="majorBidi"/>
      <w:b/>
      <w:color w:val="004F6B" w:themeColor="text2"/>
      <w:sz w:val="3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szCs w:val="24"/>
    </w:rPr>
  </w:style>
  <w:style w:type="paragraph" w:styleId="Heading4">
    <w:name w:val="heading 4"/>
    <w:basedOn w:val="Normal"/>
    <w:next w:val="Normal"/>
    <w:link w:val="Heading4Char"/>
    <w:uiPriority w:val="9"/>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162A"/>
    <w:rPr>
      <w:rFonts w:ascii="Poppins" w:eastAsiaTheme="majorEastAsia" w:hAnsi="Poppins" w:cstheme="majorBidi"/>
      <w:b/>
      <w:color w:val="004F6B" w:themeColor="text2"/>
      <w:sz w:val="32"/>
      <w:szCs w:val="26"/>
    </w:rPr>
  </w:style>
  <w:style w:type="character" w:customStyle="1" w:styleId="Heading1Char">
    <w:name w:val="Heading 1 Char"/>
    <w:basedOn w:val="DefaultParagraphFont"/>
    <w:link w:val="Heading1"/>
    <w:uiPriority w:val="9"/>
    <w:rsid w:val="0010697F"/>
    <w:rPr>
      <w:rFonts w:ascii="Poppins" w:eastAsiaTheme="majorEastAsia" w:hAnsi="Poppins" w:cstheme="majorBidi"/>
      <w:b/>
      <w:color w:val="E73E97" w:themeColor="accent2"/>
      <w:sz w:val="36"/>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549A4"/>
    <w:pPr>
      <w:contextualSpacing/>
      <w:jc w:val="center"/>
    </w:pPr>
    <w:rPr>
      <w:rFonts w:eastAsiaTheme="majorEastAsia" w:cstheme="majorBidi"/>
      <w:b/>
      <w:color w:val="004F6B" w:themeColor="text2"/>
      <w:kern w:val="28"/>
      <w:sz w:val="48"/>
      <w:szCs w:val="56"/>
    </w:rPr>
  </w:style>
  <w:style w:type="character" w:customStyle="1" w:styleId="TitleChar">
    <w:name w:val="Title Char"/>
    <w:basedOn w:val="DefaultParagraphFont"/>
    <w:link w:val="Title"/>
    <w:uiPriority w:val="10"/>
    <w:rsid w:val="00F549A4"/>
    <w:rPr>
      <w:rFonts w:ascii="Poppins" w:eastAsiaTheme="majorEastAsia" w:hAnsi="Poppins" w:cstheme="majorBidi"/>
      <w:b/>
      <w:color w:val="004F6B" w:themeColor="text2"/>
      <w:kern w:val="28"/>
      <w:sz w:val="48"/>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1"/>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9B3FCE"/>
    <w:rPr>
      <w:color w:val="A81563" w:themeColor="hyperlink"/>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CC6A2D"/>
    <w:rPr>
      <w:b/>
      <w:color w:val="auto"/>
    </w:rPr>
  </w:style>
  <w:style w:type="character" w:customStyle="1" w:styleId="Heading4Char">
    <w:name w:val="Heading 4 Char"/>
    <w:basedOn w:val="DefaultParagraphFont"/>
    <w:link w:val="Heading4"/>
    <w:uiPriority w:val="9"/>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CC6A2D"/>
    <w:rPr>
      <w:rFonts w:ascii="Poppins" w:hAnsi="Poppins"/>
      <w:b/>
      <w:iCs/>
      <w:color w:val="004F6B" w:themeColor="text2"/>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3"/>
      </w:numPr>
      <w:contextualSpacing/>
    </w:pPr>
  </w:style>
  <w:style w:type="paragraph" w:customStyle="1" w:styleId="ListBullet-pink">
    <w:name w:val="List Bullet - pink"/>
    <w:basedOn w:val="Attribution"/>
    <w:link w:val="ListBullet-pinkChar"/>
    <w:qFormat/>
    <w:rsid w:val="007B4E49"/>
    <w:pPr>
      <w:numPr>
        <w:numId w:val="5"/>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table" w:styleId="TableGrid">
    <w:name w:val="Table Grid"/>
    <w:basedOn w:val="TableNormal"/>
    <w:uiPriority w:val="39"/>
    <w:rsid w:val="00136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85A33"/>
    <w:rPr>
      <w:color w:val="2B579A"/>
      <w:shd w:val="clear" w:color="auto" w:fill="E1DFDD"/>
    </w:rPr>
  </w:style>
  <w:style w:type="paragraph" w:styleId="Revision">
    <w:name w:val="Revision"/>
    <w:hidden/>
    <w:uiPriority w:val="99"/>
    <w:semiHidden/>
    <w:rsid w:val="0087281C"/>
    <w:pPr>
      <w:spacing w:after="0" w:line="240" w:lineRule="auto"/>
    </w:pPr>
    <w:rPr>
      <w:rFonts w:ascii="Poppins" w:hAnsi="Poppins"/>
      <w:sz w:val="24"/>
    </w:rPr>
  </w:style>
  <w:style w:type="character" w:styleId="FollowedHyperlink">
    <w:name w:val="FollowedHyperlink"/>
    <w:basedOn w:val="DefaultParagraphFont"/>
    <w:uiPriority w:val="99"/>
    <w:semiHidden/>
    <w:unhideWhenUsed/>
    <w:rsid w:val="003679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3310">
      <w:bodyDiv w:val="1"/>
      <w:marLeft w:val="0"/>
      <w:marRight w:val="0"/>
      <w:marTop w:val="0"/>
      <w:marBottom w:val="0"/>
      <w:divBdr>
        <w:top w:val="none" w:sz="0" w:space="0" w:color="auto"/>
        <w:left w:val="none" w:sz="0" w:space="0" w:color="auto"/>
        <w:bottom w:val="none" w:sz="0" w:space="0" w:color="auto"/>
        <w:right w:val="none" w:sz="0" w:space="0" w:color="auto"/>
      </w:divBdr>
      <w:divsChild>
        <w:div w:id="484975945">
          <w:marLeft w:val="446"/>
          <w:marRight w:val="0"/>
          <w:marTop w:val="0"/>
          <w:marBottom w:val="160"/>
          <w:divBdr>
            <w:top w:val="none" w:sz="0" w:space="0" w:color="auto"/>
            <w:left w:val="none" w:sz="0" w:space="0" w:color="auto"/>
            <w:bottom w:val="none" w:sz="0" w:space="0" w:color="auto"/>
            <w:right w:val="none" w:sz="0" w:space="0" w:color="auto"/>
          </w:divBdr>
        </w:div>
      </w:divsChild>
    </w:div>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46947047">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435446703">
      <w:bodyDiv w:val="1"/>
      <w:marLeft w:val="0"/>
      <w:marRight w:val="0"/>
      <w:marTop w:val="0"/>
      <w:marBottom w:val="0"/>
      <w:divBdr>
        <w:top w:val="none" w:sz="0" w:space="0" w:color="auto"/>
        <w:left w:val="none" w:sz="0" w:space="0" w:color="auto"/>
        <w:bottom w:val="none" w:sz="0" w:space="0" w:color="auto"/>
        <w:right w:val="none" w:sz="0" w:space="0" w:color="auto"/>
      </w:divBdr>
    </w:div>
    <w:div w:id="495807785">
      <w:bodyDiv w:val="1"/>
      <w:marLeft w:val="0"/>
      <w:marRight w:val="0"/>
      <w:marTop w:val="0"/>
      <w:marBottom w:val="0"/>
      <w:divBdr>
        <w:top w:val="none" w:sz="0" w:space="0" w:color="auto"/>
        <w:left w:val="none" w:sz="0" w:space="0" w:color="auto"/>
        <w:bottom w:val="none" w:sz="0" w:space="0" w:color="auto"/>
        <w:right w:val="none" w:sz="0" w:space="0" w:color="auto"/>
      </w:divBdr>
    </w:div>
    <w:div w:id="502552065">
      <w:bodyDiv w:val="1"/>
      <w:marLeft w:val="0"/>
      <w:marRight w:val="0"/>
      <w:marTop w:val="0"/>
      <w:marBottom w:val="0"/>
      <w:divBdr>
        <w:top w:val="none" w:sz="0" w:space="0" w:color="auto"/>
        <w:left w:val="none" w:sz="0" w:space="0" w:color="auto"/>
        <w:bottom w:val="none" w:sz="0" w:space="0" w:color="auto"/>
        <w:right w:val="none" w:sz="0" w:space="0" w:color="auto"/>
      </w:divBdr>
    </w:div>
    <w:div w:id="554395282">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86306172">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612519597">
      <w:bodyDiv w:val="1"/>
      <w:marLeft w:val="0"/>
      <w:marRight w:val="0"/>
      <w:marTop w:val="0"/>
      <w:marBottom w:val="0"/>
      <w:divBdr>
        <w:top w:val="none" w:sz="0" w:space="0" w:color="auto"/>
        <w:left w:val="none" w:sz="0" w:space="0" w:color="auto"/>
        <w:bottom w:val="none" w:sz="0" w:space="0" w:color="auto"/>
        <w:right w:val="none" w:sz="0" w:space="0" w:color="auto"/>
      </w:divBdr>
    </w:div>
    <w:div w:id="676662835">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799424318">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873538560">
      <w:bodyDiv w:val="1"/>
      <w:marLeft w:val="0"/>
      <w:marRight w:val="0"/>
      <w:marTop w:val="0"/>
      <w:marBottom w:val="0"/>
      <w:divBdr>
        <w:top w:val="none" w:sz="0" w:space="0" w:color="auto"/>
        <w:left w:val="none" w:sz="0" w:space="0" w:color="auto"/>
        <w:bottom w:val="none" w:sz="0" w:space="0" w:color="auto"/>
        <w:right w:val="none" w:sz="0" w:space="0" w:color="auto"/>
      </w:divBdr>
    </w:div>
    <w:div w:id="1011836288">
      <w:bodyDiv w:val="1"/>
      <w:marLeft w:val="0"/>
      <w:marRight w:val="0"/>
      <w:marTop w:val="0"/>
      <w:marBottom w:val="0"/>
      <w:divBdr>
        <w:top w:val="none" w:sz="0" w:space="0" w:color="auto"/>
        <w:left w:val="none" w:sz="0" w:space="0" w:color="auto"/>
        <w:bottom w:val="none" w:sz="0" w:space="0" w:color="auto"/>
        <w:right w:val="none" w:sz="0" w:space="0" w:color="auto"/>
      </w:divBdr>
    </w:div>
    <w:div w:id="1069694610">
      <w:bodyDiv w:val="1"/>
      <w:marLeft w:val="0"/>
      <w:marRight w:val="0"/>
      <w:marTop w:val="0"/>
      <w:marBottom w:val="0"/>
      <w:divBdr>
        <w:top w:val="none" w:sz="0" w:space="0" w:color="auto"/>
        <w:left w:val="none" w:sz="0" w:space="0" w:color="auto"/>
        <w:bottom w:val="none" w:sz="0" w:space="0" w:color="auto"/>
        <w:right w:val="none" w:sz="0" w:space="0" w:color="auto"/>
      </w:divBdr>
    </w:div>
    <w:div w:id="1095438232">
      <w:bodyDiv w:val="1"/>
      <w:marLeft w:val="0"/>
      <w:marRight w:val="0"/>
      <w:marTop w:val="0"/>
      <w:marBottom w:val="0"/>
      <w:divBdr>
        <w:top w:val="none" w:sz="0" w:space="0" w:color="auto"/>
        <w:left w:val="none" w:sz="0" w:space="0" w:color="auto"/>
        <w:bottom w:val="none" w:sz="0" w:space="0" w:color="auto"/>
        <w:right w:val="none" w:sz="0" w:space="0" w:color="auto"/>
      </w:divBdr>
    </w:div>
    <w:div w:id="1142311350">
      <w:bodyDiv w:val="1"/>
      <w:marLeft w:val="0"/>
      <w:marRight w:val="0"/>
      <w:marTop w:val="0"/>
      <w:marBottom w:val="0"/>
      <w:divBdr>
        <w:top w:val="none" w:sz="0" w:space="0" w:color="auto"/>
        <w:left w:val="none" w:sz="0" w:space="0" w:color="auto"/>
        <w:bottom w:val="none" w:sz="0" w:space="0" w:color="auto"/>
        <w:right w:val="none" w:sz="0" w:space="0" w:color="auto"/>
      </w:divBdr>
    </w:div>
    <w:div w:id="1143547469">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65460722">
      <w:bodyDiv w:val="1"/>
      <w:marLeft w:val="0"/>
      <w:marRight w:val="0"/>
      <w:marTop w:val="0"/>
      <w:marBottom w:val="0"/>
      <w:divBdr>
        <w:top w:val="none" w:sz="0" w:space="0" w:color="auto"/>
        <w:left w:val="none" w:sz="0" w:space="0" w:color="auto"/>
        <w:bottom w:val="none" w:sz="0" w:space="0" w:color="auto"/>
        <w:right w:val="none" w:sz="0" w:space="0" w:color="auto"/>
      </w:divBdr>
    </w:div>
    <w:div w:id="1322269985">
      <w:bodyDiv w:val="1"/>
      <w:marLeft w:val="0"/>
      <w:marRight w:val="0"/>
      <w:marTop w:val="0"/>
      <w:marBottom w:val="0"/>
      <w:divBdr>
        <w:top w:val="none" w:sz="0" w:space="0" w:color="auto"/>
        <w:left w:val="none" w:sz="0" w:space="0" w:color="auto"/>
        <w:bottom w:val="none" w:sz="0" w:space="0" w:color="auto"/>
        <w:right w:val="none" w:sz="0" w:space="0" w:color="auto"/>
      </w:divBdr>
    </w:div>
    <w:div w:id="1336154121">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349984718">
      <w:bodyDiv w:val="1"/>
      <w:marLeft w:val="0"/>
      <w:marRight w:val="0"/>
      <w:marTop w:val="0"/>
      <w:marBottom w:val="0"/>
      <w:divBdr>
        <w:top w:val="none" w:sz="0" w:space="0" w:color="auto"/>
        <w:left w:val="none" w:sz="0" w:space="0" w:color="auto"/>
        <w:bottom w:val="none" w:sz="0" w:space="0" w:color="auto"/>
        <w:right w:val="none" w:sz="0" w:space="0" w:color="auto"/>
      </w:divBdr>
    </w:div>
    <w:div w:id="1719937762">
      <w:bodyDiv w:val="1"/>
      <w:marLeft w:val="0"/>
      <w:marRight w:val="0"/>
      <w:marTop w:val="0"/>
      <w:marBottom w:val="0"/>
      <w:divBdr>
        <w:top w:val="none" w:sz="0" w:space="0" w:color="auto"/>
        <w:left w:val="none" w:sz="0" w:space="0" w:color="auto"/>
        <w:bottom w:val="none" w:sz="0" w:space="0" w:color="auto"/>
        <w:right w:val="none" w:sz="0" w:space="0" w:color="auto"/>
      </w:divBdr>
    </w:div>
    <w:div w:id="1741516858">
      <w:bodyDiv w:val="1"/>
      <w:marLeft w:val="0"/>
      <w:marRight w:val="0"/>
      <w:marTop w:val="0"/>
      <w:marBottom w:val="0"/>
      <w:divBdr>
        <w:top w:val="none" w:sz="0" w:space="0" w:color="auto"/>
        <w:left w:val="none" w:sz="0" w:space="0" w:color="auto"/>
        <w:bottom w:val="none" w:sz="0" w:space="0" w:color="auto"/>
        <w:right w:val="none" w:sz="0" w:space="0" w:color="auto"/>
      </w:divBdr>
    </w:div>
    <w:div w:id="1834295939">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 w:id="2030829918">
      <w:bodyDiv w:val="1"/>
      <w:marLeft w:val="0"/>
      <w:marRight w:val="0"/>
      <w:marTop w:val="0"/>
      <w:marBottom w:val="0"/>
      <w:divBdr>
        <w:top w:val="none" w:sz="0" w:space="0" w:color="auto"/>
        <w:left w:val="none" w:sz="0" w:space="0" w:color="auto"/>
        <w:bottom w:val="none" w:sz="0" w:space="0" w:color="auto"/>
        <w:right w:val="none" w:sz="0" w:space="0" w:color="auto"/>
      </w:divBdr>
    </w:div>
    <w:div w:id="2035113832">
      <w:bodyDiv w:val="1"/>
      <w:marLeft w:val="0"/>
      <w:marRight w:val="0"/>
      <w:marTop w:val="0"/>
      <w:marBottom w:val="0"/>
      <w:divBdr>
        <w:top w:val="none" w:sz="0" w:space="0" w:color="auto"/>
        <w:left w:val="none" w:sz="0" w:space="0" w:color="auto"/>
        <w:bottom w:val="none" w:sz="0" w:space="0" w:color="auto"/>
        <w:right w:val="none" w:sz="0" w:space="0" w:color="auto"/>
      </w:divBdr>
    </w:div>
    <w:div w:id="2045474160">
      <w:bodyDiv w:val="1"/>
      <w:marLeft w:val="0"/>
      <w:marRight w:val="0"/>
      <w:marTop w:val="0"/>
      <w:marBottom w:val="0"/>
      <w:divBdr>
        <w:top w:val="none" w:sz="0" w:space="0" w:color="auto"/>
        <w:left w:val="none" w:sz="0" w:space="0" w:color="auto"/>
        <w:bottom w:val="none" w:sz="0" w:space="0" w:color="auto"/>
        <w:right w:val="none" w:sz="0" w:space="0" w:color="auto"/>
      </w:divBdr>
    </w:div>
    <w:div w:id="2061243036">
      <w:bodyDiv w:val="1"/>
      <w:marLeft w:val="0"/>
      <w:marRight w:val="0"/>
      <w:marTop w:val="0"/>
      <w:marBottom w:val="0"/>
      <w:divBdr>
        <w:top w:val="none" w:sz="0" w:space="0" w:color="auto"/>
        <w:left w:val="none" w:sz="0" w:space="0" w:color="auto"/>
        <w:bottom w:val="none" w:sz="0" w:space="0" w:color="auto"/>
        <w:right w:val="none" w:sz="0" w:space="0" w:color="auto"/>
      </w:divBdr>
    </w:div>
    <w:div w:id="2076273027">
      <w:bodyDiv w:val="1"/>
      <w:marLeft w:val="0"/>
      <w:marRight w:val="0"/>
      <w:marTop w:val="0"/>
      <w:marBottom w:val="0"/>
      <w:divBdr>
        <w:top w:val="none" w:sz="0" w:space="0" w:color="auto"/>
        <w:left w:val="none" w:sz="0" w:space="0" w:color="auto"/>
        <w:bottom w:val="none" w:sz="0" w:space="0" w:color="auto"/>
        <w:right w:val="none" w:sz="0" w:space="0" w:color="auto"/>
      </w:divBdr>
    </w:div>
    <w:div w:id="211532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healthwatchsurrey.co.uk/sites/healthwatchsurrey.co.uk/files/02.%20Local%20Healthwatch%20Enter%20and%20View%20Policy%20-%20June%202025.pdf" TargetMode="Externa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youtube.com/watch?v=y7jVu38Tw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2.jp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3826fa84612661f2963b9604562cd6c5">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9285d2689cc0c75c2861878e6fc4ad08"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2.xml><?xml version="1.0" encoding="utf-8"?>
<ds:datastoreItem xmlns:ds="http://schemas.openxmlformats.org/officeDocument/2006/customXml" ds:itemID="{397116AB-6191-4BEA-83FD-6722E0A63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customXml/itemProps4.xml><?xml version="1.0" encoding="utf-8"?>
<ds:datastoreItem xmlns:ds="http://schemas.openxmlformats.org/officeDocument/2006/customXml" ds:itemID="{B49A2CEC-5F0B-48FE-865B-F99EBDD9F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Vicky Rushworth</cp:lastModifiedBy>
  <cp:revision>509</cp:revision>
  <cp:lastPrinted>2025-12-11T08:50:00Z</cp:lastPrinted>
  <dcterms:created xsi:type="dcterms:W3CDTF">2025-02-11T04:09:00Z</dcterms:created>
  <dcterms:modified xsi:type="dcterms:W3CDTF">2025-12-11T08:54:00Z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74400</vt:r8>
  </property>
  <property fmtid="{D5CDD505-2E9C-101B-9397-08002B2CF9AE}" pid="4" name="ContentTypeId">
    <vt:lpwstr>0x01010024044832956C4A4E989A9D0D1F55E85E</vt:lpwstr>
  </property>
</Properties>
</file>